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5F0F8">
      <w:pPr>
        <w:spacing w:line="244" w:lineRule="auto"/>
        <w:rPr>
          <w:rFonts w:ascii="Arial"/>
          <w:sz w:val="21"/>
        </w:rPr>
      </w:pPr>
    </w:p>
    <w:p w14:paraId="1B08346A">
      <w:pPr>
        <w:spacing w:line="245" w:lineRule="auto"/>
        <w:rPr>
          <w:rFonts w:ascii="Arial"/>
          <w:sz w:val="21"/>
        </w:rPr>
      </w:pPr>
    </w:p>
    <w:p w14:paraId="2D89E589">
      <w:pPr>
        <w:spacing w:line="375" w:lineRule="exact"/>
        <w:ind w:firstLine="1321"/>
      </w:pPr>
    </w:p>
    <w:p w14:paraId="0729F8F8">
      <w:pPr>
        <w:pStyle w:val="2"/>
        <w:spacing w:before="210" w:line="222" w:lineRule="auto"/>
        <w:ind w:left="1765"/>
        <w:outlineLvl w:val="0"/>
        <w:rPr>
          <w:sz w:val="31"/>
          <w:szCs w:val="31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4458335</wp:posOffset>
                </wp:positionH>
                <wp:positionV relativeFrom="paragraph">
                  <wp:posOffset>128905</wp:posOffset>
                </wp:positionV>
                <wp:extent cx="9525" cy="9525"/>
                <wp:effectExtent l="0" t="0" r="0" b="0"/>
                <wp:wrapNone/>
                <wp:docPr id="6" name="Rec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8766" y="128917"/>
                          <a:ext cx="9525" cy="9525"/>
                        </a:xfrm>
                        <a:prstGeom prst="rect">
                          <a:avLst/>
                        </a:prstGeom>
                        <a:solidFill>
                          <a:srgbClr val="211D0A">
                            <a:alpha val="4196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6" o:spid="_x0000_s1026" o:spt="1" style="position:absolute;left:0pt;margin-left:351.05pt;margin-top:10.15pt;height:0.75pt;width:0.75pt;z-index:-251657216;mso-width-relative:page;mso-height-relative:page;" fillcolor="#211D0A" filled="t" stroked="f" coordsize="21600,21600" o:gfxdata="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WrzVzYAAAACQEAAA8AAAAAAAAAAQAgAAAAIgAAAGRycy9k&#10;b3ducmV2LnhtbFBLAQIUABQAAAAIAIdO4kCMOxyJOwIAAIkEAAAOAAAAAAAAAAEAIAAAACcBAABk&#10;cnMvZTJvRG9jLnhtbFBLBQYAAAAABgAGAFkBAADUBQAAAAA=&#10;">
                <v:fill on="t" opacity="27498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spacing w:val="11"/>
          <w:sz w:val="31"/>
          <w:szCs w:val="31"/>
        </w:rPr>
        <w:t>湖南省</w:t>
      </w:r>
      <w:r>
        <w:rPr>
          <w:rFonts w:ascii="Times New Roman" w:hAnsi="Times New Roman" w:eastAsia="Times New Roman" w:cs="Times New Roman"/>
          <w:b/>
          <w:bCs/>
          <w:spacing w:val="11"/>
          <w:sz w:val="31"/>
          <w:szCs w:val="31"/>
        </w:rPr>
        <w:t xml:space="preserve">2026 </w:t>
      </w:r>
      <w:r>
        <w:rPr>
          <w:spacing w:val="11"/>
          <w:sz w:val="31"/>
          <w:szCs w:val="31"/>
        </w:rPr>
        <w:t>年普通高中学业水平选择性考试</w:t>
      </w:r>
    </w:p>
    <w:p w14:paraId="7362D8E8">
      <w:pPr>
        <w:pStyle w:val="2"/>
        <w:spacing w:before="250" w:line="223" w:lineRule="auto"/>
        <w:ind w:left="4249"/>
        <w:rPr>
          <w:sz w:val="31"/>
          <w:szCs w:val="31"/>
        </w:rPr>
      </w:pPr>
      <w:r>
        <w:rPr>
          <w:spacing w:val="5"/>
          <w:sz w:val="31"/>
          <w:szCs w:val="31"/>
        </w:rPr>
        <w:t>历史试题</w:t>
      </w:r>
    </w:p>
    <w:p w14:paraId="33290D83">
      <w:pPr>
        <w:pStyle w:val="2"/>
        <w:spacing w:before="158" w:line="220" w:lineRule="auto"/>
        <w:ind w:left="11"/>
        <w:rPr>
          <w:sz w:val="24"/>
          <w:szCs w:val="24"/>
        </w:rPr>
      </w:pPr>
      <w:r>
        <w:rPr>
          <w:spacing w:val="-2"/>
          <w:sz w:val="24"/>
          <w:szCs w:val="24"/>
        </w:rPr>
        <w:t>注意事项：</w:t>
      </w:r>
    </w:p>
    <w:p w14:paraId="6C4F86D6">
      <w:pPr>
        <w:pStyle w:val="2"/>
        <w:spacing w:before="85" w:line="219" w:lineRule="auto"/>
        <w:ind w:left="17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>1</w:t>
      </w:r>
      <w:r>
        <w:rPr>
          <w:rFonts w:ascii="Times New Roman" w:hAnsi="Times New Roman" w:eastAsia="Times New Roman" w:cs="Times New Roman"/>
          <w:b/>
          <w:bCs/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．答卷前，考生务必将自己的姓名、准考证号填写在本试题卷和答题卡上。</w:t>
      </w:r>
    </w:p>
    <w:p w14:paraId="68A03F2F">
      <w:pPr>
        <w:pStyle w:val="2"/>
        <w:spacing w:before="88" w:line="263" w:lineRule="auto"/>
        <w:ind w:left="11" w:right="146" w:hanging="4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b/>
          <w:bCs/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．回答选择题时，选出每小题答案后，用铅笔把答题卡上对应题</w:t>
      </w:r>
      <w:r>
        <w:rPr>
          <w:spacing w:val="-1"/>
          <w:sz w:val="24"/>
          <w:szCs w:val="24"/>
        </w:rPr>
        <w:t>目的答案标号涂黑。如需改</w:t>
      </w:r>
      <w:r>
        <w:rPr>
          <w:spacing w:val="1"/>
          <w:sz w:val="24"/>
          <w:szCs w:val="24"/>
        </w:rPr>
        <w:t>动，用橡皮擦干净后，再选涂其他答案标号。回答非选择题时，将答案写</w:t>
      </w:r>
      <w:r>
        <w:rPr>
          <w:sz w:val="24"/>
          <w:szCs w:val="24"/>
        </w:rPr>
        <w:t>在答题卡上。写在</w:t>
      </w:r>
      <w:r>
        <w:rPr>
          <w:spacing w:val="-2"/>
          <w:sz w:val="24"/>
          <w:szCs w:val="24"/>
        </w:rPr>
        <w:t>本试题卷上无效。</w:t>
      </w:r>
    </w:p>
    <w:p w14:paraId="5BD41A06">
      <w:pPr>
        <w:pStyle w:val="2"/>
        <w:spacing w:before="87" w:line="219" w:lineRule="auto"/>
        <w:ind w:left="5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b/>
          <w:bCs/>
          <w:spacing w:val="-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．考试结束后，将本试题卷和答题卡一并交回。</w:t>
      </w:r>
    </w:p>
    <w:p w14:paraId="575A3AF4">
      <w:pPr>
        <w:pStyle w:val="2"/>
        <w:spacing w:before="86" w:line="288" w:lineRule="auto"/>
        <w:ind w:left="14" w:right="248"/>
        <w:rPr>
          <w:sz w:val="24"/>
          <w:szCs w:val="24"/>
        </w:rPr>
      </w:pPr>
      <w:r>
        <w:rPr>
          <w:sz w:val="24"/>
          <w:szCs w:val="24"/>
        </w:rPr>
        <w:t>一、选择题：本题共</w:t>
      </w:r>
      <w:r>
        <w:rPr>
          <w:spacing w:val="-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16 </w:t>
      </w:r>
      <w:r>
        <w:rPr>
          <w:sz w:val="24"/>
          <w:szCs w:val="24"/>
        </w:rPr>
        <w:t>小题，每小题</w:t>
      </w:r>
      <w:r>
        <w:rPr>
          <w:spacing w:val="-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3 </w:t>
      </w:r>
      <w:r>
        <w:rPr>
          <w:sz w:val="24"/>
          <w:szCs w:val="24"/>
        </w:rPr>
        <w:t>分，共</w:t>
      </w:r>
      <w:r>
        <w:rPr>
          <w:spacing w:val="-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48 </w:t>
      </w:r>
      <w:r>
        <w:rPr>
          <w:sz w:val="24"/>
          <w:szCs w:val="24"/>
        </w:rPr>
        <w:t>分。在每小题给出的四个选项中，只有一</w:t>
      </w:r>
      <w:r>
        <w:rPr>
          <w:spacing w:val="-2"/>
          <w:sz w:val="24"/>
          <w:szCs w:val="24"/>
        </w:rPr>
        <w:t>项是符合题目要求的。</w:t>
      </w:r>
    </w:p>
    <w:p w14:paraId="7067F605">
      <w:pPr>
        <w:pStyle w:val="2"/>
        <w:spacing w:before="59" w:line="411" w:lineRule="auto"/>
        <w:ind w:left="18" w:right="179" w:firstLine="7"/>
      </w:pPr>
      <w:r>
        <w:rPr>
          <w:rFonts w:ascii="Times New Roman" w:hAnsi="Times New Roman" w:eastAsia="Times New Roman" w:cs="Times New Roman"/>
          <w:spacing w:val="-2"/>
        </w:rPr>
        <w:t>1.</w:t>
      </w:r>
      <w:r>
        <w:rPr>
          <w:rFonts w:ascii="Times New Roman" w:hAnsi="Times New Roman" w:eastAsia="Times New Roman" w:cs="Times New Roman"/>
          <w:spacing w:val="20"/>
        </w:rPr>
        <w:t xml:space="preserve">  </w:t>
      </w:r>
      <w:r>
        <w:rPr>
          <w:spacing w:val="-2"/>
        </w:rPr>
        <w:t>甲骨文中的“乡</w:t>
      </w:r>
      <w:r>
        <w:rPr>
          <w:spacing w:val="-77"/>
        </w:rPr>
        <w:t xml:space="preserve"> </w:t>
      </w:r>
      <w:r>
        <w:rPr>
          <w:spacing w:val="-2"/>
        </w:rPr>
        <w:t>”，释义为有血缘关系的族人共食。西周时期，乡是国人居住的聚落，燕召公曾“巡行乡邑</w:t>
      </w:r>
      <w:r>
        <w:rPr>
          <w:spacing w:val="-76"/>
        </w:rPr>
        <w:t xml:space="preserve"> </w:t>
      </w:r>
      <w:r>
        <w:rPr>
          <w:spacing w:val="-2"/>
        </w:rPr>
        <w:t>”。到战国时期，各诸侯国普遍设置了乡这一基层管理组织。上述变化反映出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2D75F153">
      <w:pPr>
        <w:pStyle w:val="2"/>
        <w:spacing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宗法制度渐趋严密</w:t>
      </w:r>
      <w:r>
        <w:rPr>
          <w:spacing w:val="2"/>
        </w:rPr>
        <w:t xml:space="preserve">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血缘政治逐步转型</w:t>
      </w:r>
    </w:p>
    <w:p w14:paraId="1CA8D14E">
      <w:pPr>
        <w:pStyle w:val="2"/>
        <w:spacing w:before="220" w:line="411" w:lineRule="auto"/>
        <w:ind w:right="3030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2"/>
        </w:rPr>
        <w:t xml:space="preserve">C.  </w:t>
      </w:r>
      <w:r>
        <w:rPr>
          <w:spacing w:val="-2"/>
        </w:rPr>
        <w:t xml:space="preserve">乡里制度已经建立            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3"/>
        </w:rPr>
        <w:t xml:space="preserve">  </w:t>
      </w:r>
      <w:r>
        <w:rPr>
          <w:spacing w:val="-2"/>
        </w:rPr>
        <w:t>中央集权日益衰落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75593803">
      <w:pPr>
        <w:pStyle w:val="2"/>
        <w:spacing w:line="220" w:lineRule="auto"/>
      </w:pPr>
      <w:r>
        <w:rPr>
          <w:color w:val="2E75B6"/>
        </w:rPr>
        <w:t>【解析】</w:t>
      </w:r>
    </w:p>
    <w:p w14:paraId="19AD387A">
      <w:pPr>
        <w:pStyle w:val="2"/>
        <w:spacing w:before="219" w:line="411" w:lineRule="auto"/>
        <w:ind w:left="8" w:right="68" w:hanging="9"/>
      </w:pPr>
      <w:r>
        <w:rPr>
          <w:spacing w:val="-1"/>
        </w:rPr>
        <w:t>【详解】A.宗法制度以血缘关系为核心，材料</w:t>
      </w:r>
      <w:r>
        <w:rPr>
          <w:spacing w:val="-2"/>
        </w:rPr>
        <w:t>中“乡</w:t>
      </w:r>
      <w:r>
        <w:rPr>
          <w:spacing w:val="-77"/>
        </w:rPr>
        <w:t xml:space="preserve"> </w:t>
      </w:r>
      <w:r>
        <w:rPr>
          <w:spacing w:val="-2"/>
        </w:rPr>
        <w:t>”的含义从血缘族人共食，逐渐演变为基层管理组织，</w:t>
      </w:r>
      <w:r>
        <w:rPr>
          <w:spacing w:val="-1"/>
        </w:rPr>
        <w:t>体现了血缘色彩的弱化，而非宗法制度渐趋严密，错误。</w:t>
      </w:r>
    </w:p>
    <w:p w14:paraId="60AFD0F6">
      <w:pPr>
        <w:pStyle w:val="2"/>
        <w:spacing w:before="1" w:line="315" w:lineRule="auto"/>
        <w:ind w:left="27" w:right="232" w:hanging="22"/>
      </w:pPr>
      <w:r>
        <w:rPr>
          <w:spacing w:val="-1"/>
        </w:rPr>
        <w:t>B.甲骨文中的“乡</w:t>
      </w:r>
      <w:r>
        <w:rPr>
          <w:spacing w:val="-63"/>
        </w:rPr>
        <w:t xml:space="preserve"> </w:t>
      </w:r>
      <w:r>
        <w:rPr>
          <w:spacing w:val="-1"/>
        </w:rPr>
        <w:t>”体现血缘关系，西周时是国人聚落，战国时发展为基层管理组织，说明以血缘为基础的政治形态，逐渐向地缘性的基层行政组织转型，血缘政治逐步向官僚政治过渡，正确。</w:t>
      </w:r>
    </w:p>
    <w:p w14:paraId="03311160">
      <w:pPr>
        <w:pStyle w:val="2"/>
        <w:spacing w:before="217" w:line="316" w:lineRule="auto"/>
        <w:ind w:left="8" w:right="232"/>
      </w:pPr>
      <w:r>
        <w:rPr>
          <w:spacing w:val="-1"/>
        </w:rPr>
        <w:t>C.乡里制度在秦汉时期才正式确立，战国时期只是普遍设置“乡</w:t>
      </w:r>
      <w:r>
        <w:rPr>
          <w:spacing w:val="-66"/>
        </w:rPr>
        <w:t xml:space="preserve"> </w:t>
      </w:r>
      <w:r>
        <w:rPr>
          <w:spacing w:val="-1"/>
        </w:rPr>
        <w:t>”这一基层组织，尚未形成完整的乡里制</w:t>
      </w:r>
      <w:r>
        <w:rPr>
          <w:spacing w:val="-2"/>
        </w:rPr>
        <w:t>度，错误。</w:t>
      </w:r>
    </w:p>
    <w:p w14:paraId="67C1FC47">
      <w:pPr>
        <w:pStyle w:val="2"/>
        <w:spacing w:before="219" w:line="219" w:lineRule="auto"/>
        <w:ind w:left="5"/>
      </w:pPr>
      <w:r>
        <w:t>D.战国时期，各国通过变法加强中央集权，而非中央集权日益</w:t>
      </w:r>
      <w:r>
        <w:rPr>
          <w:spacing w:val="-1"/>
        </w:rPr>
        <w:t>衰落，错误。</w:t>
      </w:r>
    </w:p>
    <w:p w14:paraId="3A0BD313">
      <w:pPr>
        <w:pStyle w:val="2"/>
        <w:spacing w:before="218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1F0F3C9E">
      <w:pPr>
        <w:pStyle w:val="2"/>
        <w:spacing w:before="219" w:line="411" w:lineRule="auto"/>
        <w:ind w:left="12" w:hanging="6"/>
      </w:pPr>
      <w:r>
        <w:rPr>
          <w:rFonts w:ascii="Times New Roman" w:hAnsi="Times New Roman" w:eastAsia="Times New Roman" w:cs="Times New Roman"/>
          <w:spacing w:val="-1"/>
        </w:rPr>
        <w:t xml:space="preserve">2.  </w:t>
      </w:r>
      <w:r>
        <w:rPr>
          <w:spacing w:val="-1"/>
        </w:rPr>
        <w:t>悬泉置是汉代敦煌郡的一处邮传机构，其遗址出土的《悬泉汉简》中留存了一些马匹的记录，包括马名、</w:t>
      </w:r>
      <w:r>
        <w:rPr>
          <w:spacing w:val="-2"/>
        </w:rPr>
        <w:t>性别、年龄、体貌特征、伤病死亡等信息。由此可知当时 (</w:t>
      </w:r>
      <w:r>
        <w:rPr>
          <w:spacing w:val="24"/>
        </w:rPr>
        <w:t xml:space="preserve">   </w:t>
      </w:r>
      <w:r>
        <w:rPr>
          <w:spacing w:val="-2"/>
        </w:rPr>
        <w:t>)</w:t>
      </w:r>
    </w:p>
    <w:p w14:paraId="6C28CA38">
      <w:pPr>
        <w:pStyle w:val="2"/>
        <w:spacing w:before="1" w:line="411" w:lineRule="auto"/>
        <w:ind w:right="1014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 xml:space="preserve">文书制度严密        </w:t>
      </w:r>
      <w:r>
        <w:rPr>
          <w:rFonts w:ascii="Times New Roman" w:hAnsi="Times New Roman" w:eastAsia="Times New Roman" w:cs="Times New Roman"/>
          <w:spacing w:val="-1"/>
        </w:rPr>
        <w:t>B.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rPr>
          <w:spacing w:val="-1"/>
        </w:rPr>
        <w:t xml:space="preserve">边境贸易活跃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汉匈战争频繁        </w:t>
      </w:r>
      <w:r>
        <w:rPr>
          <w:rFonts w:ascii="Times New Roman" w:hAnsi="Times New Roman" w:eastAsia="Times New Roman" w:cs="Times New Roman"/>
          <w:spacing w:val="-1"/>
        </w:rPr>
        <w:t xml:space="preserve">D.   </w:t>
      </w:r>
      <w:r>
        <w:rPr>
          <w:spacing w:val="-1"/>
        </w:rPr>
        <w:t>自然条件恶劣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A</w:t>
      </w:r>
    </w:p>
    <w:p w14:paraId="67F044D4">
      <w:pPr>
        <w:pStyle w:val="2"/>
        <w:spacing w:line="220" w:lineRule="auto"/>
      </w:pPr>
      <w:r>
        <w:rPr>
          <w:color w:val="2E75B6"/>
        </w:rPr>
        <w:t>【解析】</w:t>
      </w:r>
    </w:p>
    <w:p w14:paraId="6A5C9375">
      <w:pPr>
        <w:pStyle w:val="2"/>
        <w:spacing w:before="218" w:line="355" w:lineRule="auto"/>
        <w:ind w:left="10" w:right="232" w:hanging="10"/>
      </w:pPr>
      <w:r>
        <w:t>【详解】A.《悬泉汉简》中对马匹的信息（马名、性别、年龄、体貌特征、伤病、死亡等）记录得非常详尽，体现了汉代邮传机构对马匹管理的细致规范，反映出当时</w:t>
      </w:r>
      <w:r>
        <w:rPr>
          <w:spacing w:val="-1"/>
        </w:rPr>
        <w:t>文书制度的严密，正确。</w:t>
      </w:r>
    </w:p>
    <w:p w14:paraId="4D7C3EC7">
      <w:pPr>
        <w:pStyle w:val="2"/>
        <w:spacing w:line="219" w:lineRule="auto"/>
        <w:ind w:left="4170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22860</wp:posOffset>
            </wp:positionV>
            <wp:extent cx="9525" cy="952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第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</w:t>
      </w:r>
      <w:r>
        <w:rPr>
          <w:spacing w:val="-8"/>
        </w:rPr>
        <w:t>页</w:t>
      </w:r>
      <w:r>
        <w:rPr>
          <w:rFonts w:ascii="Times New Roman" w:hAnsi="Times New Roman" w:eastAsia="Times New Roman" w:cs="Times New Roman"/>
          <w:spacing w:val="-8"/>
        </w:rPr>
        <w:t>/</w:t>
      </w:r>
      <w:r>
        <w:rPr>
          <w:spacing w:val="-8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15</w:t>
      </w:r>
      <w:r>
        <w:rPr>
          <w:spacing w:val="-8"/>
        </w:rPr>
        <w:t>页</w:t>
      </w:r>
    </w:p>
    <w:p w14:paraId="5B9B12F7">
      <w:pPr>
        <w:spacing w:line="219" w:lineRule="auto"/>
        <w:sectPr>
          <w:headerReference r:id="rId5" w:type="default"/>
          <w:footerReference r:id="rId6" w:type="default"/>
          <w:pgSz w:w="11900" w:h="16839"/>
          <w:pgMar w:top="400" w:right="927" w:bottom="0" w:left="1078" w:header="0" w:footer="0" w:gutter="0"/>
          <w:cols w:space="720" w:num="1"/>
        </w:sectPr>
      </w:pPr>
    </w:p>
    <w:p w14:paraId="02D5D577">
      <w:pPr>
        <w:spacing w:line="244" w:lineRule="auto"/>
        <w:rPr>
          <w:rFonts w:ascii="Arial"/>
          <w:sz w:val="21"/>
        </w:rPr>
      </w:pPr>
    </w:p>
    <w:p w14:paraId="19656C2A">
      <w:pPr>
        <w:spacing w:line="245" w:lineRule="auto"/>
        <w:rPr>
          <w:rFonts w:ascii="Arial"/>
          <w:sz w:val="21"/>
        </w:rPr>
      </w:pPr>
    </w:p>
    <w:p w14:paraId="4D3B1648">
      <w:pPr>
        <w:spacing w:line="375" w:lineRule="exact"/>
        <w:ind w:firstLine="1440"/>
      </w:pPr>
    </w:p>
    <w:p w14:paraId="731311A0">
      <w:pPr>
        <w:pStyle w:val="2"/>
        <w:spacing w:before="182" w:line="219" w:lineRule="auto"/>
        <w:jc w:val="right"/>
      </w:pPr>
      <w:r>
        <w:rPr>
          <w:spacing w:val="-1"/>
        </w:rPr>
        <w:t>B.材料中仅提及邮传机构对马匹的管理记录，未涉及边境贸易的相关信息，无法体现边境贸易活跃，错误。</w:t>
      </w:r>
    </w:p>
    <w:p w14:paraId="30AD7CAF">
      <w:pPr>
        <w:pStyle w:val="2"/>
        <w:spacing w:before="218" w:line="219" w:lineRule="auto"/>
        <w:ind w:left="126"/>
      </w:pPr>
      <w:r>
        <w:t>C.题干仅说明邮传机构对马匹的管理，没有体现汉匈战争频繁的</w:t>
      </w:r>
      <w:r>
        <w:rPr>
          <w:spacing w:val="-1"/>
        </w:rPr>
        <w:t>背景信息，错误。</w:t>
      </w:r>
    </w:p>
    <w:p w14:paraId="73532F98">
      <w:pPr>
        <w:pStyle w:val="2"/>
        <w:spacing w:before="218" w:line="316" w:lineRule="auto"/>
        <w:ind w:left="131" w:right="629" w:hanging="7"/>
      </w:pPr>
      <w:r>
        <w:rPr>
          <w:spacing w:val="-1"/>
        </w:rPr>
        <w:t>D.马匹伤病死亡记录是邮传机构对马匹的常规管理内容，不能直接说明敦煌郡自然条件恶劣，错误。</w:t>
      </w:r>
      <w:r>
        <w:rPr>
          <w:spacing w:val="-5"/>
        </w:rPr>
        <w:t>故选</w:t>
      </w:r>
      <w:r>
        <w:rPr>
          <w:spacing w:val="-51"/>
        </w:rPr>
        <w:t xml:space="preserve"> </w:t>
      </w:r>
      <w:r>
        <w:rPr>
          <w:spacing w:val="-5"/>
        </w:rPr>
        <w:t>A</w:t>
      </w:r>
      <w:r>
        <w:rPr>
          <w:spacing w:val="-41"/>
        </w:rPr>
        <w:t xml:space="preserve"> </w:t>
      </w:r>
      <w:r>
        <w:rPr>
          <w:spacing w:val="-5"/>
        </w:rPr>
        <w:t>项。</w:t>
      </w:r>
    </w:p>
    <w:p w14:paraId="1F5A21BB">
      <w:pPr>
        <w:pStyle w:val="2"/>
        <w:spacing w:before="219" w:line="315" w:lineRule="auto"/>
        <w:ind w:left="129" w:right="127" w:hanging="1"/>
      </w:pPr>
      <w:r>
        <w:rPr>
          <w:rFonts w:ascii="Times New Roman" w:hAnsi="Times New Roman" w:eastAsia="Times New Roman" w:cs="Times New Roman"/>
        </w:rPr>
        <w:t xml:space="preserve">3.  </w:t>
      </w:r>
      <w:r>
        <w:t>下图为东魏时期的蝉冠菩萨像。蝉冠是汉代侍从官佩戴的帽子，至魏晋时期日渐</w:t>
      </w:r>
      <w:r>
        <w:rPr>
          <w:spacing w:val="-1"/>
        </w:rPr>
        <w:t>成为权贵的象征。这尊</w:t>
      </w:r>
      <w:r>
        <w:rPr>
          <w:spacing w:val="-7"/>
        </w:rPr>
        <w:t>菩萨像反映出</w:t>
      </w:r>
      <w:r>
        <w:rPr>
          <w:spacing w:val="14"/>
        </w:rPr>
        <w:t xml:space="preserve"> </w:t>
      </w:r>
      <w:r>
        <w:rPr>
          <w:spacing w:val="-7"/>
        </w:rPr>
        <w:t>(</w:t>
      </w:r>
      <w:r>
        <w:rPr>
          <w:spacing w:val="20"/>
        </w:rPr>
        <w:t xml:space="preserve">   </w:t>
      </w:r>
      <w:r>
        <w:rPr>
          <w:spacing w:val="-7"/>
        </w:rPr>
        <w:t>)</w:t>
      </w:r>
    </w:p>
    <w:p w14:paraId="462F1363">
      <w:pPr>
        <w:spacing w:before="190" w:line="2925" w:lineRule="exact"/>
        <w:ind w:firstLine="120"/>
      </w:pPr>
      <w:r>
        <w:rPr>
          <w:position w:val="-58"/>
        </w:rPr>
        <w:drawing>
          <wp:inline distT="0" distB="0" distL="0" distR="0">
            <wp:extent cx="1133475" cy="185737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FAFB5">
      <w:pPr>
        <w:pStyle w:val="2"/>
        <w:spacing w:before="224" w:line="219" w:lineRule="auto"/>
        <w:ind w:left="121"/>
      </w:pPr>
      <w:r>
        <w:rPr>
          <w:rFonts w:ascii="Times New Roman" w:hAnsi="Times New Roman" w:eastAsia="Times New Roman" w:cs="Times New Roman"/>
        </w:rPr>
        <w:t xml:space="preserve">A.  </w:t>
      </w:r>
      <w:r>
        <w:t>北朝佛教注重等级观念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汉晋时</w:t>
      </w:r>
      <w:r>
        <w:rPr>
          <w:spacing w:val="-1"/>
        </w:rPr>
        <w:t>期蝉崇拜的盛行</w:t>
      </w:r>
    </w:p>
    <w:p w14:paraId="60B172BE">
      <w:pPr>
        <w:pStyle w:val="2"/>
        <w:spacing w:before="219" w:line="411" w:lineRule="auto"/>
        <w:ind w:left="118" w:right="2557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魏晋官僚制度发展成熟</w:t>
      </w:r>
      <w:r>
        <w:rPr>
          <w:spacing w:val="3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佛教艺术融合士族文化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7FEA5D3B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7297F7BC">
      <w:pPr>
        <w:pStyle w:val="2"/>
        <w:spacing w:before="219" w:line="411" w:lineRule="auto"/>
        <w:ind w:left="127" w:right="226" w:hanging="9"/>
      </w:pPr>
      <w:r>
        <w:rPr>
          <w:spacing w:val="-1"/>
        </w:rPr>
        <w:t>【详解】A.图示仅体现佛教造像融合了代表权贵身份的蝉冠元素，未体现佛教本身注重等级观念的信息，</w:t>
      </w:r>
      <w:r>
        <w:rPr>
          <w:spacing w:val="-3"/>
        </w:rPr>
        <w:t>错误。</w:t>
      </w:r>
    </w:p>
    <w:p w14:paraId="1EB6FF15">
      <w:pPr>
        <w:pStyle w:val="2"/>
        <w:spacing w:before="1" w:line="218" w:lineRule="auto"/>
        <w:ind w:left="123"/>
      </w:pPr>
      <w:r>
        <w:rPr>
          <w:spacing w:val="-1"/>
        </w:rPr>
        <w:t>B.材料仅说明蝉冠成为权贵象征，无法体现“汉晋时期蝉崇拜的盛行</w:t>
      </w:r>
      <w:r>
        <w:rPr>
          <w:spacing w:val="-74"/>
        </w:rPr>
        <w:t xml:space="preserve"> </w:t>
      </w:r>
      <w:r>
        <w:rPr>
          <w:spacing w:val="-1"/>
        </w:rPr>
        <w:t>”，错误。</w:t>
      </w:r>
    </w:p>
    <w:p w14:paraId="7F99A72C">
      <w:pPr>
        <w:pStyle w:val="2"/>
        <w:spacing w:before="218" w:line="219" w:lineRule="auto"/>
        <w:ind w:left="126"/>
      </w:pPr>
      <w:r>
        <w:t>C.题干未涉及魏晋官僚制度的发展成熟情况，与</w:t>
      </w:r>
      <w:r>
        <w:rPr>
          <w:spacing w:val="-1"/>
        </w:rPr>
        <w:t>材料无关，错误。</w:t>
      </w:r>
    </w:p>
    <w:p w14:paraId="7AE09A52">
      <w:pPr>
        <w:pStyle w:val="2"/>
        <w:spacing w:before="221" w:line="315" w:lineRule="auto"/>
        <w:ind w:left="130" w:right="179" w:hanging="6"/>
      </w:pPr>
      <w:r>
        <w:t>D.蝉冠是魏晋时期士族权贵的象征，东魏时期的菩萨像佩戴蝉冠，说明佛教艺术吸收了代表</w:t>
      </w:r>
      <w:r>
        <w:rPr>
          <w:spacing w:val="-1"/>
        </w:rPr>
        <w:t>士族文化的元素，体现了二者的融合，正确。</w:t>
      </w:r>
    </w:p>
    <w:p w14:paraId="29F99878">
      <w:pPr>
        <w:pStyle w:val="2"/>
        <w:spacing w:before="218" w:line="220" w:lineRule="auto"/>
        <w:ind w:left="131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47C012B8">
      <w:pPr>
        <w:pStyle w:val="2"/>
        <w:spacing w:before="218" w:line="219" w:lineRule="auto"/>
        <w:ind w:left="123"/>
      </w:pPr>
      <w:r>
        <w:rPr>
          <w:rFonts w:ascii="Times New Roman" w:hAnsi="Times New Roman" w:eastAsia="Times New Roman" w:cs="Times New Roman"/>
          <w:spacing w:val="-2"/>
        </w:rPr>
        <w:t xml:space="preserve">4.  </w:t>
      </w:r>
      <w:r>
        <w:rPr>
          <w:spacing w:val="-2"/>
        </w:rPr>
        <w:t>下表是唐开元以来官方设立的部分“场</w:t>
      </w:r>
      <w:r>
        <w:rPr>
          <w:spacing w:val="-74"/>
        </w:rPr>
        <w:t xml:space="preserve"> </w:t>
      </w:r>
      <w:r>
        <w:rPr>
          <w:spacing w:val="-2"/>
        </w:rPr>
        <w:t>”的信息。这反映出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62AEBF1F">
      <w:pPr>
        <w:spacing w:line="79" w:lineRule="exact"/>
      </w:pPr>
    </w:p>
    <w:tbl>
      <w:tblPr>
        <w:tblStyle w:val="6"/>
        <w:tblW w:w="832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5"/>
        <w:gridCol w:w="1512"/>
        <w:gridCol w:w="1362"/>
        <w:gridCol w:w="2351"/>
        <w:gridCol w:w="2044"/>
      </w:tblGrid>
      <w:tr w14:paraId="299FBA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055" w:type="dxa"/>
            <w:vAlign w:val="top"/>
          </w:tcPr>
          <w:p w14:paraId="7E87F394">
            <w:pPr>
              <w:pStyle w:val="7"/>
              <w:spacing w:before="214" w:line="220" w:lineRule="auto"/>
              <w:ind w:left="112"/>
            </w:pPr>
            <w:r>
              <w:rPr>
                <w:spacing w:val="-4"/>
              </w:rPr>
              <w:t>场名</w:t>
            </w:r>
          </w:p>
        </w:tc>
        <w:tc>
          <w:tcPr>
            <w:tcW w:w="1512" w:type="dxa"/>
            <w:vAlign w:val="top"/>
          </w:tcPr>
          <w:p w14:paraId="45216CAC">
            <w:pPr>
              <w:pStyle w:val="7"/>
              <w:spacing w:before="214" w:line="220" w:lineRule="auto"/>
              <w:ind w:left="108"/>
            </w:pPr>
            <w:r>
              <w:rPr>
                <w:spacing w:val="-3"/>
              </w:rPr>
              <w:t>所在位置</w:t>
            </w:r>
          </w:p>
        </w:tc>
        <w:tc>
          <w:tcPr>
            <w:tcW w:w="1362" w:type="dxa"/>
            <w:vAlign w:val="top"/>
          </w:tcPr>
          <w:p w14:paraId="2A7A01DC">
            <w:pPr>
              <w:pStyle w:val="7"/>
              <w:spacing w:before="214" w:line="221" w:lineRule="auto"/>
              <w:ind w:left="114"/>
            </w:pPr>
            <w:r>
              <w:rPr>
                <w:spacing w:val="-3"/>
              </w:rPr>
              <w:t>设立时间</w:t>
            </w:r>
          </w:p>
        </w:tc>
        <w:tc>
          <w:tcPr>
            <w:tcW w:w="2351" w:type="dxa"/>
            <w:vAlign w:val="top"/>
          </w:tcPr>
          <w:p w14:paraId="35926ECA">
            <w:pPr>
              <w:pStyle w:val="7"/>
              <w:spacing w:before="214" w:line="221" w:lineRule="auto"/>
              <w:ind w:left="117"/>
            </w:pPr>
            <w:r>
              <w:rPr>
                <w:spacing w:val="-6"/>
              </w:rPr>
              <w:t>功能</w:t>
            </w:r>
          </w:p>
        </w:tc>
        <w:tc>
          <w:tcPr>
            <w:tcW w:w="2044" w:type="dxa"/>
            <w:vAlign w:val="top"/>
          </w:tcPr>
          <w:p w14:paraId="0A506974">
            <w:pPr>
              <w:pStyle w:val="7"/>
              <w:spacing w:before="214" w:line="220" w:lineRule="auto"/>
              <w:ind w:left="119"/>
            </w:pPr>
            <w:r>
              <w:rPr>
                <w:spacing w:val="-3"/>
              </w:rPr>
              <w:t>后续发展</w:t>
            </w:r>
          </w:p>
        </w:tc>
      </w:tr>
      <w:tr w14:paraId="5CA679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055" w:type="dxa"/>
            <w:vAlign w:val="top"/>
          </w:tcPr>
          <w:p w14:paraId="711AC045">
            <w:pPr>
              <w:pStyle w:val="7"/>
              <w:spacing w:before="215" w:line="220" w:lineRule="auto"/>
              <w:ind w:left="114"/>
            </w:pPr>
            <w:r>
              <w:rPr>
                <w:spacing w:val="-4"/>
              </w:rPr>
              <w:t>石绿场</w:t>
            </w:r>
          </w:p>
        </w:tc>
        <w:tc>
          <w:tcPr>
            <w:tcW w:w="1512" w:type="dxa"/>
            <w:vAlign w:val="top"/>
          </w:tcPr>
          <w:p w14:paraId="421BDB52">
            <w:pPr>
              <w:pStyle w:val="7"/>
              <w:spacing w:before="215" w:line="219" w:lineRule="auto"/>
              <w:ind w:left="108"/>
            </w:pPr>
            <w:r>
              <w:rPr>
                <w:spacing w:val="-2"/>
              </w:rPr>
              <w:t>今安徽南部</w:t>
            </w:r>
          </w:p>
        </w:tc>
        <w:tc>
          <w:tcPr>
            <w:tcW w:w="1362" w:type="dxa"/>
            <w:vAlign w:val="top"/>
          </w:tcPr>
          <w:p w14:paraId="360474D4">
            <w:pPr>
              <w:pStyle w:val="7"/>
              <w:spacing w:before="215" w:line="220" w:lineRule="auto"/>
              <w:ind w:left="112"/>
            </w:pPr>
            <w:r>
              <w:rPr>
                <w:spacing w:val="-3"/>
              </w:rPr>
              <w:t>唐开元间</w:t>
            </w:r>
          </w:p>
        </w:tc>
        <w:tc>
          <w:tcPr>
            <w:tcW w:w="2351" w:type="dxa"/>
            <w:vAlign w:val="top"/>
          </w:tcPr>
          <w:p w14:paraId="0FBAEADF">
            <w:pPr>
              <w:pStyle w:val="7"/>
              <w:spacing w:before="215" w:line="219" w:lineRule="auto"/>
              <w:ind w:left="113"/>
            </w:pPr>
            <w:r>
              <w:rPr>
                <w:spacing w:val="-1"/>
              </w:rPr>
              <w:t>初为矿场，后兼作税场</w:t>
            </w:r>
          </w:p>
        </w:tc>
        <w:tc>
          <w:tcPr>
            <w:tcW w:w="2044" w:type="dxa"/>
            <w:vAlign w:val="top"/>
          </w:tcPr>
          <w:p w14:paraId="082D57CF">
            <w:pPr>
              <w:pStyle w:val="7"/>
              <w:spacing w:before="215" w:line="219" w:lineRule="auto"/>
              <w:ind w:left="120"/>
            </w:pPr>
            <w:r>
              <w:rPr>
                <w:spacing w:val="-2"/>
              </w:rPr>
              <w:t>南唐设繁昌县</w:t>
            </w:r>
          </w:p>
        </w:tc>
      </w:tr>
      <w:tr w14:paraId="2BE121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055" w:type="dxa"/>
            <w:vAlign w:val="top"/>
          </w:tcPr>
          <w:p w14:paraId="23CE71C9">
            <w:pPr>
              <w:pStyle w:val="7"/>
              <w:spacing w:before="208" w:line="220" w:lineRule="auto"/>
              <w:ind w:left="113"/>
            </w:pPr>
            <w:r>
              <w:rPr>
                <w:spacing w:val="-5"/>
              </w:rPr>
              <w:t>铅场</w:t>
            </w:r>
          </w:p>
        </w:tc>
        <w:tc>
          <w:tcPr>
            <w:tcW w:w="1512" w:type="dxa"/>
            <w:vAlign w:val="top"/>
          </w:tcPr>
          <w:p w14:paraId="68DB0FE4">
            <w:pPr>
              <w:pStyle w:val="7"/>
              <w:spacing w:before="209" w:line="219" w:lineRule="auto"/>
              <w:ind w:left="108"/>
            </w:pPr>
            <w:r>
              <w:rPr>
                <w:spacing w:val="-2"/>
              </w:rPr>
              <w:t>今江西东部</w:t>
            </w:r>
          </w:p>
        </w:tc>
        <w:tc>
          <w:tcPr>
            <w:tcW w:w="1362" w:type="dxa"/>
            <w:vAlign w:val="top"/>
          </w:tcPr>
          <w:p w14:paraId="164DD928">
            <w:pPr>
              <w:pStyle w:val="7"/>
              <w:spacing w:before="209" w:line="219" w:lineRule="auto"/>
              <w:ind w:left="114"/>
            </w:pPr>
            <w:r>
              <w:rPr>
                <w:spacing w:val="-3"/>
              </w:rPr>
              <w:t>五代时期</w:t>
            </w:r>
          </w:p>
        </w:tc>
        <w:tc>
          <w:tcPr>
            <w:tcW w:w="2351" w:type="dxa"/>
            <w:vAlign w:val="top"/>
          </w:tcPr>
          <w:p w14:paraId="4E8A7A65">
            <w:pPr>
              <w:pStyle w:val="7"/>
              <w:spacing w:before="209" w:line="219" w:lineRule="auto"/>
              <w:ind w:left="113"/>
            </w:pPr>
            <w:r>
              <w:rPr>
                <w:spacing w:val="-1"/>
              </w:rPr>
              <w:t>初为矿场，后兼作税场</w:t>
            </w:r>
          </w:p>
        </w:tc>
        <w:tc>
          <w:tcPr>
            <w:tcW w:w="2044" w:type="dxa"/>
            <w:vAlign w:val="top"/>
          </w:tcPr>
          <w:p w14:paraId="7F0797CF">
            <w:pPr>
              <w:pStyle w:val="7"/>
              <w:spacing w:before="208" w:line="221" w:lineRule="auto"/>
              <w:ind w:left="120"/>
            </w:pPr>
            <w:r>
              <w:rPr>
                <w:spacing w:val="-2"/>
              </w:rPr>
              <w:t>南唐设铅山县</w:t>
            </w:r>
          </w:p>
        </w:tc>
      </w:tr>
    </w:tbl>
    <w:p w14:paraId="4D3186E6">
      <w:pPr>
        <w:spacing w:line="261" w:lineRule="auto"/>
        <w:rPr>
          <w:rFonts w:ascii="Arial"/>
          <w:sz w:val="21"/>
        </w:rPr>
      </w:pPr>
    </w:p>
    <w:p w14:paraId="60D21A6B">
      <w:pPr>
        <w:spacing w:line="261" w:lineRule="auto"/>
        <w:rPr>
          <w:rFonts w:ascii="Arial"/>
          <w:sz w:val="21"/>
        </w:rPr>
      </w:pPr>
    </w:p>
    <w:p w14:paraId="739A9ABB">
      <w:pPr>
        <w:pStyle w:val="2"/>
        <w:spacing w:before="69" w:line="219" w:lineRule="auto"/>
        <w:ind w:left="4289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第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15</w:t>
      </w:r>
      <w:r>
        <w:rPr>
          <w:spacing w:val="-5"/>
        </w:rPr>
        <w:t>页</w:t>
      </w:r>
    </w:p>
    <w:p w14:paraId="2649DC6A">
      <w:pPr>
        <w:spacing w:line="219" w:lineRule="auto"/>
        <w:sectPr>
          <w:headerReference r:id="rId7" w:type="default"/>
          <w:pgSz w:w="11900" w:h="16839"/>
          <w:pgMar w:top="400" w:right="979" w:bottom="0" w:left="960" w:header="0" w:footer="0" w:gutter="0"/>
          <w:cols w:space="720" w:num="1"/>
        </w:sectPr>
      </w:pPr>
    </w:p>
    <w:p w14:paraId="42114B6A">
      <w:pPr>
        <w:spacing w:line="244" w:lineRule="auto"/>
        <w:rPr>
          <w:rFonts w:ascii="Arial"/>
          <w:sz w:val="21"/>
        </w:rPr>
      </w:pPr>
    </w:p>
    <w:p w14:paraId="52387377">
      <w:pPr>
        <w:spacing w:line="245" w:lineRule="auto"/>
        <w:rPr>
          <w:rFonts w:ascii="Arial"/>
          <w:sz w:val="21"/>
        </w:rPr>
      </w:pPr>
    </w:p>
    <w:p w14:paraId="473541A0">
      <w:pPr>
        <w:spacing w:line="375" w:lineRule="exact"/>
        <w:ind w:firstLine="1321"/>
      </w:pPr>
    </w:p>
    <w:p w14:paraId="0BD3C6F8">
      <w:pPr>
        <w:pStyle w:val="2"/>
        <w:spacing w:before="182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过度开采造成资源枯竭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南方开</w:t>
      </w:r>
      <w:r>
        <w:rPr>
          <w:spacing w:val="-1"/>
        </w:rPr>
        <w:t>发影响政区设置</w:t>
      </w:r>
    </w:p>
    <w:p w14:paraId="77FB8287">
      <w:pPr>
        <w:pStyle w:val="2"/>
        <w:spacing w:before="220" w:line="411" w:lineRule="auto"/>
        <w:ind w:right="246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资源开发加重民众负担</w:t>
      </w:r>
      <w:r>
        <w:rPr>
          <w:spacing w:val="3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政权更替改变矿场功能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26A4C447">
      <w:pPr>
        <w:pStyle w:val="2"/>
        <w:spacing w:line="220" w:lineRule="auto"/>
      </w:pPr>
      <w:r>
        <w:rPr>
          <w:color w:val="2E75B6"/>
        </w:rPr>
        <w:t>【解析】</w:t>
      </w:r>
    </w:p>
    <w:p w14:paraId="1F85EB37">
      <w:pPr>
        <w:pStyle w:val="2"/>
        <w:spacing w:before="217" w:line="219" w:lineRule="auto"/>
      </w:pPr>
      <w:r>
        <w:rPr>
          <w:spacing w:val="-1"/>
        </w:rPr>
        <w:t>【详解】A.表格未体现资源枯竭的相关信息，无法得出“过度开采造成资源枯竭</w:t>
      </w:r>
      <w:r>
        <w:rPr>
          <w:spacing w:val="-61"/>
        </w:rPr>
        <w:t xml:space="preserve"> </w:t>
      </w:r>
      <w:r>
        <w:rPr>
          <w:spacing w:val="-1"/>
        </w:rPr>
        <w:t>”的结论，错误。</w:t>
      </w:r>
    </w:p>
    <w:p w14:paraId="0BDC783C">
      <w:pPr>
        <w:pStyle w:val="2"/>
        <w:spacing w:before="219" w:line="315" w:lineRule="auto"/>
        <w:ind w:left="11" w:right="85" w:hanging="6"/>
      </w:pPr>
      <w:r>
        <w:t>B.表格中安徽南部、江西东部的矿场，后续发展为南唐的县治，说明随着南方矿产资源开发，</w:t>
      </w:r>
      <w:r>
        <w:rPr>
          <w:spacing w:val="-1"/>
        </w:rPr>
        <w:t>当地经济发</w:t>
      </w:r>
      <w:r>
        <w:t>展、人口聚集、治理需求提升，政府将这类功能型场升格为县，说明南方开发</w:t>
      </w:r>
      <w:r>
        <w:rPr>
          <w:spacing w:val="-1"/>
        </w:rPr>
        <w:t>影响了政区设置，正确。</w:t>
      </w:r>
    </w:p>
    <w:p w14:paraId="5911585A">
      <w:pPr>
        <w:pStyle w:val="2"/>
        <w:spacing w:before="218" w:line="219" w:lineRule="auto"/>
        <w:ind w:left="8"/>
      </w:pPr>
      <w:r>
        <w:rPr>
          <w:spacing w:val="-1"/>
        </w:rPr>
        <w:t>C.材料未提及资源开发对民众负担的影响，错误。</w:t>
      </w:r>
    </w:p>
    <w:p w14:paraId="31DB1F8B">
      <w:pPr>
        <w:pStyle w:val="2"/>
        <w:spacing w:before="219" w:line="316" w:lineRule="auto"/>
        <w:ind w:left="12" w:right="536" w:hanging="7"/>
      </w:pPr>
      <w:r>
        <w:rPr>
          <w:spacing w:val="-1"/>
        </w:rPr>
        <w:t>D.矿场只是后续升格为县，原有功能并未被改变，也无信息表明政权更替直接改变矿场功能，错误。</w:t>
      </w: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1E0353F6">
      <w:pPr>
        <w:pStyle w:val="2"/>
        <w:spacing w:before="218" w:line="315" w:lineRule="auto"/>
        <w:ind w:left="9" w:firstLine="1"/>
      </w:pPr>
      <w:r>
        <w:rPr>
          <w:rFonts w:ascii="Times New Roman" w:hAnsi="Times New Roman" w:eastAsia="Times New Roman" w:cs="Times New Roman"/>
          <w:spacing w:val="-5"/>
        </w:rPr>
        <w:t xml:space="preserve">5.  </w:t>
      </w:r>
      <w:r>
        <w:rPr>
          <w:spacing w:val="-5"/>
        </w:rPr>
        <w:t>宋代徽州出现了承揽他人赋税的“揽户</w:t>
      </w:r>
      <w:r>
        <w:rPr>
          <w:spacing w:val="-77"/>
        </w:rPr>
        <w:t xml:space="preserve"> </w:t>
      </w:r>
      <w:r>
        <w:rPr>
          <w:spacing w:val="-5"/>
        </w:rPr>
        <w:t>”。“税户</w:t>
      </w:r>
      <w:r>
        <w:rPr>
          <w:spacing w:val="-77"/>
        </w:rPr>
        <w:t xml:space="preserve"> </w:t>
      </w:r>
      <w:r>
        <w:rPr>
          <w:spacing w:val="-5"/>
        </w:rPr>
        <w:t>”若</w:t>
      </w:r>
      <w:r>
        <w:rPr>
          <w:spacing w:val="-6"/>
        </w:rPr>
        <w:t>无绢帛充当赋税，可由“揽户</w:t>
      </w:r>
      <w:r>
        <w:rPr>
          <w:spacing w:val="-77"/>
        </w:rPr>
        <w:t xml:space="preserve"> </w:t>
      </w:r>
      <w:r>
        <w:rPr>
          <w:spacing w:val="-6"/>
        </w:rPr>
        <w:t>”代为向民间专门从</w:t>
      </w:r>
      <w:r>
        <w:rPr>
          <w:spacing w:val="-3"/>
        </w:rPr>
        <w:t>事绢帛生产的“机户</w:t>
      </w:r>
      <w:r>
        <w:rPr>
          <w:spacing w:val="-73"/>
        </w:rPr>
        <w:t xml:space="preserve"> </w:t>
      </w:r>
      <w:r>
        <w:rPr>
          <w:spacing w:val="-3"/>
        </w:rPr>
        <w:t>”购买。这可用于说明宋代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1007E2EC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政府赋税征收管理松弛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区域</w:t>
      </w:r>
      <w:r>
        <w:rPr>
          <w:spacing w:val="-1"/>
        </w:rPr>
        <w:t>间商贸活动频繁</w:t>
      </w:r>
    </w:p>
    <w:p w14:paraId="75A66961">
      <w:pPr>
        <w:pStyle w:val="2"/>
        <w:spacing w:before="220" w:line="411" w:lineRule="auto"/>
        <w:ind w:right="267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2"/>
        </w:rPr>
        <w:t>C.</w:t>
      </w:r>
      <w:r>
        <w:rPr>
          <w:rFonts w:ascii="Times New Roman" w:hAnsi="Times New Roman" w:eastAsia="Times New Roman" w:cs="Times New Roman"/>
          <w:spacing w:val="21"/>
        </w:rPr>
        <w:t xml:space="preserve">  </w:t>
      </w:r>
      <w:r>
        <w:rPr>
          <w:spacing w:val="-2"/>
        </w:rPr>
        <w:t>自然经济结构有所突破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2"/>
        </w:rPr>
        <w:t xml:space="preserve">D.  </w:t>
      </w:r>
      <w:r>
        <w:rPr>
          <w:spacing w:val="-2"/>
        </w:rPr>
        <w:t>手工业生</w:t>
      </w:r>
      <w:r>
        <w:rPr>
          <w:spacing w:val="-3"/>
        </w:rPr>
        <w:t>产分工细密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6F97FB34">
      <w:pPr>
        <w:pStyle w:val="2"/>
        <w:spacing w:line="220" w:lineRule="auto"/>
      </w:pPr>
      <w:r>
        <w:rPr>
          <w:color w:val="2E75B6"/>
        </w:rPr>
        <w:t>【解析】</w:t>
      </w:r>
    </w:p>
    <w:p w14:paraId="5254F831">
      <w:pPr>
        <w:pStyle w:val="2"/>
        <w:spacing w:before="219" w:line="411" w:lineRule="auto"/>
        <w:ind w:left="17" w:right="85" w:hanging="17"/>
      </w:pPr>
      <w:r>
        <w:rPr>
          <w:spacing w:val="-1"/>
        </w:rPr>
        <w:t>【详解】A.“揽户</w:t>
      </w:r>
      <w:r>
        <w:rPr>
          <w:spacing w:val="-77"/>
        </w:rPr>
        <w:t xml:space="preserve"> </w:t>
      </w:r>
      <w:r>
        <w:rPr>
          <w:spacing w:val="-1"/>
        </w:rPr>
        <w:t>”代税户向“机户</w:t>
      </w:r>
      <w:r>
        <w:rPr>
          <w:spacing w:val="-77"/>
        </w:rPr>
        <w:t xml:space="preserve"> </w:t>
      </w:r>
      <w:r>
        <w:rPr>
          <w:spacing w:val="-1"/>
        </w:rPr>
        <w:t>”购买绢帛以充赋税，是民间自发形成的商业活</w:t>
      </w:r>
      <w:r>
        <w:rPr>
          <w:spacing w:val="-2"/>
        </w:rPr>
        <w:t>动，并非政府赋税征收管理松弛的表现，错误。</w:t>
      </w:r>
    </w:p>
    <w:p w14:paraId="1E862B3D">
      <w:pPr>
        <w:pStyle w:val="2"/>
        <w:spacing w:before="1" w:line="315" w:lineRule="auto"/>
        <w:ind w:left="10" w:right="85" w:hanging="5"/>
      </w:pPr>
      <w:r>
        <w:t>B.材料仅体现了徽州本地揽户、税户与机户之间的经济联系，未涉及不同区域间的商贸往来，</w:t>
      </w:r>
      <w:r>
        <w:rPr>
          <w:spacing w:val="-1"/>
        </w:rPr>
        <w:t>无法说明区域间商贸活动频繁，错误。</w:t>
      </w:r>
    </w:p>
    <w:p w14:paraId="0EA62AED">
      <w:pPr>
        <w:pStyle w:val="2"/>
        <w:spacing w:before="218" w:line="219" w:lineRule="auto"/>
        <w:ind w:left="8"/>
      </w:pPr>
      <w:r>
        <w:rPr>
          <w:spacing w:val="-3"/>
        </w:rPr>
        <w:t>C.宋代虽出现商品经济发展的迹象，但传统自然经济仍占主导地位，“有所突破</w:t>
      </w:r>
      <w:r>
        <w:rPr>
          <w:spacing w:val="-77"/>
        </w:rPr>
        <w:t xml:space="preserve"> </w:t>
      </w:r>
      <w:r>
        <w:rPr>
          <w:spacing w:val="-3"/>
        </w:rPr>
        <w:t>”的表述不准确，错误。</w:t>
      </w:r>
    </w:p>
    <w:p w14:paraId="57330023">
      <w:pPr>
        <w:pStyle w:val="2"/>
        <w:spacing w:before="219" w:line="315" w:lineRule="auto"/>
        <w:ind w:left="26" w:right="85" w:hanging="21"/>
      </w:pPr>
      <w:r>
        <w:rPr>
          <w:spacing w:val="-1"/>
        </w:rPr>
        <w:t>D.材料中出现了专门承揽赋税的“揽户</w:t>
      </w:r>
      <w:r>
        <w:rPr>
          <w:spacing w:val="-77"/>
        </w:rPr>
        <w:t xml:space="preserve"> </w:t>
      </w:r>
      <w:r>
        <w:rPr>
          <w:spacing w:val="-1"/>
        </w:rPr>
        <w:t>”、专门生产绢帛的“机户</w:t>
      </w:r>
      <w:r>
        <w:rPr>
          <w:spacing w:val="-77"/>
        </w:rPr>
        <w:t xml:space="preserve"> </w:t>
      </w:r>
      <w:r>
        <w:rPr>
          <w:spacing w:val="-1"/>
        </w:rPr>
        <w:t>”，</w:t>
      </w:r>
      <w:r>
        <w:rPr>
          <w:spacing w:val="-2"/>
        </w:rPr>
        <w:t>说明手工业和商业领域出现了明确</w:t>
      </w:r>
      <w:r>
        <w:rPr>
          <w:spacing w:val="-1"/>
        </w:rPr>
        <w:t>的社会分工，体现了手工业生产分工的细密</w:t>
      </w:r>
      <w:r>
        <w:rPr>
          <w:spacing w:val="-2"/>
        </w:rPr>
        <w:t>，正确。</w:t>
      </w:r>
    </w:p>
    <w:p w14:paraId="747C47E6">
      <w:pPr>
        <w:pStyle w:val="2"/>
        <w:spacing w:before="220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0AFAD1D4">
      <w:pPr>
        <w:pStyle w:val="2"/>
        <w:spacing w:before="218" w:line="411" w:lineRule="auto"/>
        <w:ind w:left="12" w:right="80" w:hanging="2"/>
      </w:pPr>
      <w:r>
        <w:rPr>
          <w:rFonts w:ascii="Times New Roman" w:hAnsi="Times New Roman" w:eastAsia="Times New Roman" w:cs="Times New Roman"/>
          <w:spacing w:val="-1"/>
        </w:rPr>
        <w:t xml:space="preserve">6.  </w:t>
      </w:r>
      <w:r>
        <w:rPr>
          <w:spacing w:val="-1"/>
        </w:rPr>
        <w:t>朝鲜文献中记载了万历年间一位明朝官员与两位朝鲜官员论学之事。这位明朝官员“</w:t>
      </w:r>
      <w:r>
        <w:rPr>
          <w:spacing w:val="-2"/>
        </w:rPr>
        <w:t>学于王守仁门人，</w:t>
      </w:r>
      <w:r>
        <w:rPr>
          <w:spacing w:val="-3"/>
        </w:rPr>
        <w:t>力诋程、朱注说</w:t>
      </w:r>
      <w:r>
        <w:rPr>
          <w:spacing w:val="-65"/>
        </w:rPr>
        <w:t xml:space="preserve"> </w:t>
      </w:r>
      <w:r>
        <w:rPr>
          <w:spacing w:val="-3"/>
        </w:rPr>
        <w:t>”，两位朝鲜官员则坚持“尊尚程朱</w:t>
      </w:r>
      <w:r>
        <w:rPr>
          <w:spacing w:val="-78"/>
        </w:rPr>
        <w:t xml:space="preserve"> </w:t>
      </w:r>
      <w:r>
        <w:rPr>
          <w:spacing w:val="-3"/>
        </w:rPr>
        <w:t>”的立场。这一史料说明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37EA7D2F">
      <w:pPr>
        <w:pStyle w:val="2"/>
        <w:spacing w:before="1" w:line="219" w:lineRule="auto"/>
        <w:ind w:left="3"/>
      </w:pPr>
      <w:r>
        <w:rPr>
          <w:rFonts w:ascii="Times New Roman" w:hAnsi="Times New Roman" w:eastAsia="Times New Roman" w:cs="Times New Roman"/>
          <w:spacing w:val="-2"/>
        </w:rPr>
        <w:t>A.</w:t>
      </w:r>
      <w:r>
        <w:rPr>
          <w:rFonts w:ascii="Times New Roman" w:hAnsi="Times New Roman" w:eastAsia="Times New Roman" w:cs="Times New Roman"/>
          <w:spacing w:val="22"/>
          <w:w w:val="101"/>
        </w:rPr>
        <w:t xml:space="preserve">  </w:t>
      </w:r>
      <w:r>
        <w:rPr>
          <w:spacing w:val="-2"/>
        </w:rPr>
        <w:t>明朝对朝鲜的影响较小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2"/>
        </w:rPr>
        <w:t xml:space="preserve">B.  </w:t>
      </w:r>
      <w:r>
        <w:rPr>
          <w:spacing w:val="-2"/>
        </w:rPr>
        <w:t>宋明理学产生广泛影响</w:t>
      </w:r>
    </w:p>
    <w:p w14:paraId="57762606">
      <w:pPr>
        <w:pStyle w:val="2"/>
        <w:spacing w:before="219" w:line="411" w:lineRule="auto"/>
        <w:ind w:right="246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阳明心学蔑视权威教条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程朱理学存在学派</w:t>
      </w:r>
      <w:r>
        <w:rPr>
          <w:spacing w:val="-2"/>
        </w:rPr>
        <w:t>偏见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17936959">
      <w:pPr>
        <w:pStyle w:val="2"/>
        <w:spacing w:line="220" w:lineRule="auto"/>
      </w:pPr>
      <w:r>
        <w:rPr>
          <w:color w:val="2E75B6"/>
        </w:rPr>
        <w:t>【解析】</w:t>
      </w:r>
    </w:p>
    <w:p w14:paraId="00AD1676">
      <w:pPr>
        <w:pStyle w:val="2"/>
        <w:spacing w:before="96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 </w:t>
      </w:r>
      <w:r>
        <w:rPr>
          <w:spacing w:val="1"/>
        </w:rPr>
        <w:t xml:space="preserve">     </w:t>
      </w:r>
      <w:r>
        <w:rPr>
          <w:spacing w:val="-6"/>
        </w:rPr>
        <w:t>第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15</w:t>
      </w:r>
      <w:r>
        <w:rPr>
          <w:spacing w:val="-6"/>
        </w:rPr>
        <w:t>页</w:t>
      </w:r>
    </w:p>
    <w:p w14:paraId="26E48D60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70D9F0F3">
      <w:pPr>
        <w:spacing w:line="244" w:lineRule="auto"/>
        <w:rPr>
          <w:rFonts w:ascii="Arial"/>
          <w:sz w:val="21"/>
        </w:rPr>
      </w:pPr>
    </w:p>
    <w:p w14:paraId="708D8E76">
      <w:pPr>
        <w:spacing w:line="245" w:lineRule="auto"/>
        <w:rPr>
          <w:rFonts w:ascii="Arial"/>
          <w:sz w:val="21"/>
        </w:rPr>
      </w:pPr>
    </w:p>
    <w:p w14:paraId="7B3E00D2">
      <w:pPr>
        <w:spacing w:line="375" w:lineRule="exact"/>
        <w:ind w:firstLine="1440"/>
      </w:pPr>
    </w:p>
    <w:p w14:paraId="354B8383">
      <w:pPr>
        <w:pStyle w:val="2"/>
        <w:spacing w:before="183" w:line="219" w:lineRule="auto"/>
        <w:ind w:left="118"/>
      </w:pPr>
      <w:r>
        <w:t>【详解】A.朝鲜官员坚持程朱理学立场，说明明朝文化对朝鲜影响较大，错误。</w:t>
      </w:r>
    </w:p>
    <w:p w14:paraId="5922D3D1">
      <w:pPr>
        <w:pStyle w:val="2"/>
        <w:spacing w:before="218" w:line="315" w:lineRule="auto"/>
        <w:ind w:left="147" w:right="22" w:hanging="24"/>
      </w:pPr>
      <w:r>
        <w:t>B.明朝官员与朝鲜官员围绕程朱理学、阳明心学展开论学，朝鲜官员坚持程朱理学，说明宋明</w:t>
      </w:r>
      <w:r>
        <w:rPr>
          <w:spacing w:val="-1"/>
        </w:rPr>
        <w:t>理学不仅在中国发展，也传播到了朝鲜，产生了广泛影</w:t>
      </w:r>
      <w:r>
        <w:rPr>
          <w:spacing w:val="-2"/>
        </w:rPr>
        <w:t>响，正确。</w:t>
      </w:r>
    </w:p>
    <w:p w14:paraId="4D2F2589">
      <w:pPr>
        <w:pStyle w:val="2"/>
        <w:spacing w:before="220" w:line="315" w:lineRule="auto"/>
        <w:ind w:left="129" w:right="22" w:hanging="3"/>
      </w:pPr>
      <w:r>
        <w:rPr>
          <w:spacing w:val="-1"/>
        </w:rPr>
        <w:t>C.明朝官员“力诋程、朱注说</w:t>
      </w:r>
      <w:r>
        <w:rPr>
          <w:spacing w:val="-66"/>
        </w:rPr>
        <w:t xml:space="preserve"> </w:t>
      </w:r>
      <w:r>
        <w:rPr>
          <w:spacing w:val="-1"/>
        </w:rPr>
        <w:t>”，体现了心学对程朱理学的批判，但不能直接得出阳明心学“蔑视权威教</w:t>
      </w:r>
      <w:r>
        <w:rPr>
          <w:spacing w:val="-5"/>
        </w:rPr>
        <w:t>条</w:t>
      </w:r>
      <w:r>
        <w:rPr>
          <w:spacing w:val="-71"/>
        </w:rPr>
        <w:t xml:space="preserve"> </w:t>
      </w:r>
      <w:r>
        <w:rPr>
          <w:spacing w:val="-5"/>
        </w:rPr>
        <w:t>”的结论，错误。</w:t>
      </w:r>
    </w:p>
    <w:p w14:paraId="090F0C08">
      <w:pPr>
        <w:pStyle w:val="2"/>
        <w:spacing w:before="218" w:line="316" w:lineRule="auto"/>
        <w:ind w:left="127" w:right="68" w:hanging="3"/>
      </w:pPr>
      <w:r>
        <w:rPr>
          <w:spacing w:val="-1"/>
        </w:rPr>
        <w:t>D.朝鲜官员坚持程朱理学立场，是程朱理学在朝鲜的传播与影响体现，并非程朱理学本身存</w:t>
      </w:r>
      <w:r>
        <w:rPr>
          <w:spacing w:val="-2"/>
        </w:rPr>
        <w:t>在学派偏见，</w:t>
      </w:r>
      <w:r>
        <w:rPr>
          <w:spacing w:val="-3"/>
        </w:rPr>
        <w:t>错误。</w:t>
      </w:r>
    </w:p>
    <w:p w14:paraId="2D10935D">
      <w:pPr>
        <w:pStyle w:val="2"/>
        <w:spacing w:before="217" w:line="220" w:lineRule="auto"/>
        <w:ind w:left="131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34874128">
      <w:pPr>
        <w:pStyle w:val="2"/>
        <w:spacing w:before="219" w:line="411" w:lineRule="auto"/>
        <w:ind w:left="128" w:hanging="1"/>
      </w:pPr>
      <w:r>
        <w:rPr>
          <w:rFonts w:ascii="Times New Roman" w:hAnsi="Times New Roman" w:eastAsia="Times New Roman" w:cs="Times New Roman"/>
          <w:spacing w:val="-2"/>
        </w:rPr>
        <w:t>7.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1861 </w:t>
      </w:r>
      <w:r>
        <w:rPr>
          <w:spacing w:val="-2"/>
        </w:rPr>
        <w:t>年，李秀成多次致信英国驻汉口领事金执尔，强调</w:t>
      </w:r>
      <w:r>
        <w:rPr>
          <w:spacing w:val="-3"/>
        </w:rPr>
        <w:t>双方“</w:t>
      </w:r>
      <w:r>
        <w:rPr>
          <w:spacing w:val="-77"/>
        </w:rPr>
        <w:t xml:space="preserve"> </w:t>
      </w:r>
      <w:r>
        <w:rPr>
          <w:spacing w:val="-3"/>
        </w:rPr>
        <w:t>同教之传</w:t>
      </w:r>
      <w:r>
        <w:rPr>
          <w:spacing w:val="-77"/>
        </w:rPr>
        <w:t xml:space="preserve"> </w:t>
      </w:r>
      <w:r>
        <w:rPr>
          <w:spacing w:val="-3"/>
        </w:rPr>
        <w:t>”，并透露太平军将进军九江、</w:t>
      </w:r>
      <w:r>
        <w:t>上海。然而，金执尔只向英国政府报告了太平军的军事计划，并渲染其破坏性。</w:t>
      </w:r>
      <w:r>
        <w:rPr>
          <w:spacing w:val="-1"/>
        </w:rPr>
        <w:t>此后，英国放弃中立，转</w:t>
      </w:r>
      <w:r>
        <w:rPr>
          <w:spacing w:val="-3"/>
        </w:rPr>
        <w:t>而协助清政府。英国这一转变说明 (</w:t>
      </w:r>
      <w:r>
        <w:rPr>
          <w:spacing w:val="24"/>
        </w:rPr>
        <w:t xml:space="preserve">   </w:t>
      </w:r>
      <w:r>
        <w:rPr>
          <w:spacing w:val="-3"/>
        </w:rPr>
        <w:t>)</w:t>
      </w:r>
    </w:p>
    <w:p w14:paraId="2E136F68">
      <w:pPr>
        <w:pStyle w:val="2"/>
        <w:spacing w:before="1" w:line="218" w:lineRule="auto"/>
        <w:ind w:left="121"/>
      </w:pPr>
      <w:r>
        <w:rPr>
          <w:rFonts w:ascii="Times New Roman" w:hAnsi="Times New Roman" w:eastAsia="Times New Roman" w:cs="Times New Roman"/>
        </w:rPr>
        <w:t xml:space="preserve">A.  </w:t>
      </w:r>
      <w:r>
        <w:t>英国的对华政策发生本质变化</w:t>
      </w:r>
      <w:r>
        <w:rPr>
          <w:spacing w:val="3"/>
        </w:rPr>
        <w:t xml:space="preserve">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宗教认同并</w:t>
      </w:r>
      <w:r>
        <w:rPr>
          <w:spacing w:val="-1"/>
        </w:rPr>
        <w:t>非外交考量因素</w:t>
      </w:r>
    </w:p>
    <w:p w14:paraId="40DA1658">
      <w:pPr>
        <w:pStyle w:val="2"/>
        <w:spacing w:before="220" w:line="411" w:lineRule="auto"/>
        <w:ind w:left="118" w:right="1980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C.  </w:t>
      </w:r>
      <w:r>
        <w:t>太平军以妥协求生存策略失败</w:t>
      </w:r>
      <w:r>
        <w:rPr>
          <w:spacing w:val="3"/>
        </w:rPr>
        <w:t xml:space="preserve">                 </w:t>
      </w:r>
      <w:r>
        <w:rPr>
          <w:rFonts w:ascii="Times New Roman" w:hAnsi="Times New Roman" w:eastAsia="Times New Roman" w:cs="Times New Roman"/>
        </w:rPr>
        <w:t xml:space="preserve">D. </w:t>
      </w:r>
      <w:r>
        <w:rPr>
          <w:rFonts w:ascii="Times New Roman" w:hAnsi="Times New Roman" w:eastAsia="Times New Roman" w:cs="Times New Roman"/>
          <w:spacing w:val="-1"/>
        </w:rPr>
        <w:t xml:space="preserve"> </w:t>
      </w:r>
      <w:r>
        <w:rPr>
          <w:spacing w:val="-1"/>
        </w:rPr>
        <w:t>太平天国运动危及列强利益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1FA81B2C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38949EDA">
      <w:pPr>
        <w:pStyle w:val="2"/>
        <w:spacing w:before="219" w:line="411" w:lineRule="auto"/>
        <w:ind w:left="128" w:right="68" w:hanging="10"/>
      </w:pPr>
      <w:r>
        <w:rPr>
          <w:spacing w:val="-2"/>
        </w:rPr>
        <w:t>【详解】A.英国的对华政策始终以维护自身在华利益为核心，此次转变只是从“</w:t>
      </w:r>
      <w:r>
        <w:rPr>
          <w:spacing w:val="-77"/>
        </w:rPr>
        <w:t xml:space="preserve"> </w:t>
      </w:r>
      <w:r>
        <w:rPr>
          <w:spacing w:val="-2"/>
        </w:rPr>
        <w:t>中立</w:t>
      </w:r>
      <w:r>
        <w:rPr>
          <w:spacing w:val="-77"/>
        </w:rPr>
        <w:t xml:space="preserve"> </w:t>
      </w:r>
      <w:r>
        <w:rPr>
          <w:spacing w:val="-3"/>
        </w:rPr>
        <w:t>”转向支持清政府，</w:t>
      </w:r>
      <w:r>
        <w:rPr>
          <w:spacing w:val="-1"/>
        </w:rPr>
        <w:t>本质并未发生变化，错误。</w:t>
      </w:r>
    </w:p>
    <w:p w14:paraId="365699E9">
      <w:pPr>
        <w:pStyle w:val="2"/>
        <w:spacing w:before="1" w:line="315" w:lineRule="auto"/>
        <w:ind w:left="147" w:right="22" w:hanging="24"/>
      </w:pPr>
      <w:r>
        <w:t>B.宗教认同可以作为外交考量的辅助因素，但并非决定性因素，英国最终的决策核心是自身利</w:t>
      </w:r>
      <w:r>
        <w:rPr>
          <w:spacing w:val="-1"/>
        </w:rPr>
        <w:t>益，不能说</w:t>
      </w:r>
      <w:r>
        <w:rPr>
          <w:spacing w:val="-2"/>
        </w:rPr>
        <w:t>明宗教认同完全不是外交考量因素，错误。</w:t>
      </w:r>
    </w:p>
    <w:p w14:paraId="622AAA85">
      <w:pPr>
        <w:pStyle w:val="2"/>
        <w:spacing w:before="219" w:line="315" w:lineRule="auto"/>
        <w:ind w:left="148" w:right="22" w:hanging="22"/>
      </w:pPr>
      <w:r>
        <w:rPr>
          <w:spacing w:val="-1"/>
        </w:rPr>
        <w:t>C.李秀成试图以“</w:t>
      </w:r>
      <w:r>
        <w:rPr>
          <w:spacing w:val="-76"/>
        </w:rPr>
        <w:t xml:space="preserve"> </w:t>
      </w:r>
      <w:r>
        <w:rPr>
          <w:spacing w:val="-1"/>
        </w:rPr>
        <w:t>同教之传</w:t>
      </w:r>
      <w:r>
        <w:rPr>
          <w:spacing w:val="-77"/>
        </w:rPr>
        <w:t xml:space="preserve"> </w:t>
      </w:r>
      <w:r>
        <w:rPr>
          <w:spacing w:val="-1"/>
        </w:rPr>
        <w:t>”拉拢英国，并非以妥协求生存的策</w:t>
      </w:r>
      <w:r>
        <w:rPr>
          <w:spacing w:val="-2"/>
        </w:rPr>
        <w:t>略，且英国转变立场的根本原因是太平天国危及列强利益，并非单纯因为该策略失败，错误。</w:t>
      </w:r>
    </w:p>
    <w:p w14:paraId="7683EB4D">
      <w:pPr>
        <w:pStyle w:val="2"/>
        <w:spacing w:before="218" w:line="315" w:lineRule="auto"/>
        <w:ind w:left="127" w:right="22" w:hanging="3"/>
      </w:pPr>
      <w:r>
        <w:t>D.太平军计划进军九江、上海，威胁到英国在长江流域的通商口岸与经济利益，英国放弃中</w:t>
      </w:r>
      <w:r>
        <w:rPr>
          <w:spacing w:val="-1"/>
        </w:rPr>
        <w:t>立转而协助清政府，说明太平天国运动危及了列强利益，正确。</w:t>
      </w:r>
    </w:p>
    <w:p w14:paraId="415633C6">
      <w:pPr>
        <w:pStyle w:val="2"/>
        <w:spacing w:before="220" w:line="220" w:lineRule="auto"/>
        <w:ind w:left="131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3BD1D107">
      <w:pPr>
        <w:pStyle w:val="2"/>
        <w:spacing w:before="218" w:line="219" w:lineRule="auto"/>
        <w:ind w:left="132"/>
      </w:pPr>
      <w:r>
        <w:rPr>
          <w:rFonts w:ascii="Times New Roman" w:hAnsi="Times New Roman" w:eastAsia="Times New Roman" w:cs="Times New Roman"/>
          <w:spacing w:val="-3"/>
        </w:rPr>
        <w:t xml:space="preserve">8.  </w:t>
      </w:r>
      <w:r>
        <w:rPr>
          <w:spacing w:val="-3"/>
        </w:rPr>
        <w:t>下表是</w:t>
      </w:r>
      <w:r>
        <w:rPr>
          <w:spacing w:val="-2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1898 </w:t>
      </w:r>
      <w:r>
        <w:rPr>
          <w:spacing w:val="-3"/>
        </w:rPr>
        <w:t>年湖南省浏阳县县试的部分考题。这可用于说明 (    )</w:t>
      </w:r>
    </w:p>
    <w:p w14:paraId="4A5C521C">
      <w:pPr>
        <w:spacing w:line="88" w:lineRule="exact"/>
      </w:pPr>
    </w:p>
    <w:tbl>
      <w:tblPr>
        <w:tblStyle w:val="6"/>
        <w:tblW w:w="493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4"/>
        <w:gridCol w:w="3821"/>
      </w:tblGrid>
      <w:tr w14:paraId="122006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114" w:type="dxa"/>
            <w:vAlign w:val="top"/>
          </w:tcPr>
          <w:p w14:paraId="65A1C7A3">
            <w:pPr>
              <w:pStyle w:val="7"/>
              <w:spacing w:before="205" w:line="221" w:lineRule="auto"/>
              <w:ind w:left="114"/>
            </w:pPr>
            <w:r>
              <w:rPr>
                <w:spacing w:val="-4"/>
              </w:rPr>
              <w:t>经学题</w:t>
            </w:r>
          </w:p>
        </w:tc>
        <w:tc>
          <w:tcPr>
            <w:tcW w:w="3821" w:type="dxa"/>
            <w:vAlign w:val="top"/>
          </w:tcPr>
          <w:p w14:paraId="22B1082A">
            <w:pPr>
              <w:pStyle w:val="7"/>
              <w:spacing w:before="205" w:line="219" w:lineRule="auto"/>
              <w:ind w:left="111"/>
            </w:pPr>
            <w:r>
              <w:rPr>
                <w:spacing w:val="-1"/>
              </w:rPr>
              <w:t>素王改制论；六经皆政书论</w:t>
            </w:r>
          </w:p>
        </w:tc>
      </w:tr>
      <w:tr w14:paraId="3ABE59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114" w:type="dxa"/>
            <w:vAlign w:val="top"/>
          </w:tcPr>
          <w:p w14:paraId="677EE93B">
            <w:pPr>
              <w:pStyle w:val="7"/>
              <w:spacing w:before="209" w:line="219" w:lineRule="auto"/>
              <w:ind w:left="118"/>
            </w:pPr>
            <w:r>
              <w:rPr>
                <w:spacing w:val="-5"/>
              </w:rPr>
              <w:t>掌故题</w:t>
            </w:r>
          </w:p>
        </w:tc>
        <w:tc>
          <w:tcPr>
            <w:tcW w:w="3821" w:type="dxa"/>
            <w:vAlign w:val="top"/>
          </w:tcPr>
          <w:p w14:paraId="71F6CF49">
            <w:pPr>
              <w:pStyle w:val="7"/>
              <w:spacing w:before="209" w:line="219" w:lineRule="auto"/>
              <w:ind w:left="108"/>
            </w:pPr>
            <w:r>
              <w:rPr>
                <w:spacing w:val="-1"/>
              </w:rPr>
              <w:t>伸民权所以尊君权说；罢谏官设议院议</w:t>
            </w:r>
          </w:p>
        </w:tc>
      </w:tr>
    </w:tbl>
    <w:p w14:paraId="3ADAD1A2">
      <w:pPr>
        <w:spacing w:line="266" w:lineRule="auto"/>
        <w:rPr>
          <w:rFonts w:ascii="Arial"/>
          <w:sz w:val="21"/>
        </w:rPr>
      </w:pPr>
    </w:p>
    <w:p w14:paraId="05E65CFB">
      <w:pPr>
        <w:spacing w:line="267" w:lineRule="auto"/>
        <w:rPr>
          <w:rFonts w:ascii="Arial"/>
          <w:sz w:val="21"/>
        </w:rPr>
      </w:pPr>
    </w:p>
    <w:p w14:paraId="575407D4">
      <w:pPr>
        <w:pStyle w:val="2"/>
        <w:spacing w:before="69" w:line="219" w:lineRule="auto"/>
        <w:ind w:left="121"/>
      </w:pPr>
      <w:r>
        <w:rPr>
          <w:rFonts w:ascii="Times New Roman" w:hAnsi="Times New Roman" w:eastAsia="Times New Roman" w:cs="Times New Roman"/>
        </w:rPr>
        <w:t xml:space="preserve">A.  </w:t>
      </w:r>
      <w:r>
        <w:t>儒学正统地位动摇</w:t>
      </w:r>
      <w:r>
        <w:rPr>
          <w:spacing w:val="2"/>
        </w:rPr>
        <w:t xml:space="preserve">                         </w:t>
      </w:r>
      <w:r>
        <w:rPr>
          <w:spacing w:val="1"/>
        </w:rPr>
        <w:t xml:space="preserve">  </w:t>
      </w:r>
      <w:r>
        <w:rPr>
          <w:rFonts w:ascii="Times New Roman" w:hAnsi="Times New Roman" w:eastAsia="Times New Roman" w:cs="Times New Roman"/>
        </w:rPr>
        <w:t xml:space="preserve">B.  </w:t>
      </w:r>
      <w:r>
        <w:t>维新运</w:t>
      </w:r>
      <w:r>
        <w:rPr>
          <w:spacing w:val="-1"/>
        </w:rPr>
        <w:t>动缺乏群众基础</w:t>
      </w:r>
    </w:p>
    <w:p w14:paraId="0078736F">
      <w:pPr>
        <w:pStyle w:val="2"/>
        <w:spacing w:before="220" w:line="219" w:lineRule="auto"/>
        <w:ind w:left="1395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</w:t>
      </w:r>
      <w:r>
        <w:rPr>
          <w:spacing w:val="1"/>
        </w:rPr>
        <w:t xml:space="preserve">        </w:t>
      </w:r>
      <w:r>
        <w:rPr>
          <w:spacing w:val="-5"/>
        </w:rPr>
        <w:t>第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4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15</w:t>
      </w:r>
      <w:r>
        <w:rPr>
          <w:spacing w:val="-5"/>
        </w:rPr>
        <w:t>页</w:t>
      </w:r>
    </w:p>
    <w:p w14:paraId="3D11D1E3">
      <w:pPr>
        <w:spacing w:line="219" w:lineRule="auto"/>
        <w:sectPr>
          <w:pgSz w:w="11900" w:h="16839"/>
          <w:pgMar w:top="400" w:right="1137" w:bottom="0" w:left="960" w:header="0" w:footer="0" w:gutter="0"/>
          <w:cols w:space="720" w:num="1"/>
        </w:sectPr>
      </w:pPr>
    </w:p>
    <w:p w14:paraId="4BCF479E">
      <w:pPr>
        <w:spacing w:line="244" w:lineRule="auto"/>
        <w:rPr>
          <w:rFonts w:ascii="Arial"/>
          <w:sz w:val="21"/>
        </w:rPr>
      </w:pPr>
    </w:p>
    <w:p w14:paraId="47B36000">
      <w:pPr>
        <w:spacing w:line="245" w:lineRule="auto"/>
        <w:rPr>
          <w:rFonts w:ascii="Arial"/>
          <w:sz w:val="21"/>
        </w:rPr>
      </w:pPr>
    </w:p>
    <w:p w14:paraId="4AD3933F">
      <w:pPr>
        <w:spacing w:line="375" w:lineRule="exact"/>
        <w:ind w:firstLine="1321"/>
      </w:pPr>
    </w:p>
    <w:p w14:paraId="3D765DEA">
      <w:pPr>
        <w:pStyle w:val="2"/>
        <w:spacing w:before="183" w:line="411" w:lineRule="auto"/>
        <w:ind w:right="246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2"/>
        </w:rPr>
        <w:t>C.</w:t>
      </w:r>
      <w:r>
        <w:rPr>
          <w:rFonts w:ascii="Times New Roman" w:hAnsi="Times New Roman" w:eastAsia="Times New Roman" w:cs="Times New Roman"/>
          <w:spacing w:val="17"/>
          <w:w w:val="101"/>
        </w:rPr>
        <w:t xml:space="preserve">  </w:t>
      </w:r>
      <w:r>
        <w:rPr>
          <w:spacing w:val="-2"/>
        </w:rPr>
        <w:t>中央权威日渐式微</w:t>
      </w:r>
      <w:r>
        <w:rPr>
          <w:spacing w:val="2"/>
        </w:rPr>
        <w:t xml:space="preserve">                           </w:t>
      </w:r>
      <w:r>
        <w:rPr>
          <w:rFonts w:ascii="Times New Roman" w:hAnsi="Times New Roman" w:eastAsia="Times New Roman" w:cs="Times New Roman"/>
          <w:spacing w:val="-2"/>
        </w:rPr>
        <w:t xml:space="preserve">D.  </w:t>
      </w:r>
      <w:r>
        <w:rPr>
          <w:spacing w:val="-2"/>
        </w:rPr>
        <w:t>湖南成为改良运动重镇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333944D7">
      <w:pPr>
        <w:pStyle w:val="2"/>
        <w:spacing w:line="220" w:lineRule="auto"/>
      </w:pPr>
      <w:r>
        <w:rPr>
          <w:color w:val="2E75B6"/>
        </w:rPr>
        <w:t>【解析】</w:t>
      </w:r>
    </w:p>
    <w:p w14:paraId="6D1F47EC">
      <w:pPr>
        <w:pStyle w:val="2"/>
        <w:spacing w:before="218" w:line="411" w:lineRule="auto"/>
        <w:ind w:left="8" w:right="85" w:hanging="8"/>
      </w:pPr>
      <w:r>
        <w:rPr>
          <w:spacing w:val="-1"/>
        </w:rPr>
        <w:t>【详解】A.经学考题虽以传统经学为名，但“素王改制论</w:t>
      </w:r>
      <w:r>
        <w:rPr>
          <w:spacing w:val="-77"/>
        </w:rPr>
        <w:t xml:space="preserve"> </w:t>
      </w:r>
      <w:r>
        <w:rPr>
          <w:spacing w:val="-1"/>
        </w:rPr>
        <w:t>”“六经皆政书论</w:t>
      </w:r>
      <w:r>
        <w:rPr>
          <w:spacing w:val="-77"/>
        </w:rPr>
        <w:t xml:space="preserve"> </w:t>
      </w:r>
      <w:r>
        <w:rPr>
          <w:spacing w:val="-1"/>
        </w:rPr>
        <w:t>”是康有</w:t>
      </w:r>
      <w:r>
        <w:rPr>
          <w:spacing w:val="-2"/>
        </w:rPr>
        <w:t>为等维新派借经学宣</w:t>
      </w:r>
      <w:r>
        <w:rPr>
          <w:spacing w:val="-1"/>
        </w:rPr>
        <w:t>传变法的主张，并未动摇儒学的正统地位，错误。</w:t>
      </w:r>
    </w:p>
    <w:p w14:paraId="6BC30AD7">
      <w:pPr>
        <w:pStyle w:val="2"/>
        <w:spacing w:before="1" w:line="218" w:lineRule="auto"/>
        <w:ind w:left="5"/>
      </w:pPr>
      <w:r>
        <w:t>B.题干仅体现了湖南浏阳的县试考题带有维新变法色彩，无法反映维新运动的群众基础状</w:t>
      </w:r>
      <w:r>
        <w:rPr>
          <w:spacing w:val="-1"/>
        </w:rPr>
        <w:t>况，错误。</w:t>
      </w:r>
    </w:p>
    <w:p w14:paraId="7FA88A54">
      <w:pPr>
        <w:pStyle w:val="2"/>
        <w:spacing w:before="218" w:line="219" w:lineRule="auto"/>
        <w:ind w:left="8"/>
      </w:pPr>
      <w:r>
        <w:t>C.材料内容是地方县试的考题，未涉及中央权威的相关信息，无法得出中央权威日渐式</w:t>
      </w:r>
      <w:r>
        <w:rPr>
          <w:spacing w:val="-1"/>
        </w:rPr>
        <w:t>微的结论，错误。</w:t>
      </w:r>
    </w:p>
    <w:p w14:paraId="2ABF0FC1">
      <w:pPr>
        <w:pStyle w:val="2"/>
        <w:spacing w:before="220" w:line="315" w:lineRule="auto"/>
        <w:ind w:left="16" w:hanging="11"/>
      </w:pPr>
      <w:r>
        <w:rPr>
          <w:spacing w:val="-1"/>
        </w:rPr>
        <w:t>D.1898</w:t>
      </w:r>
      <w:r>
        <w:rPr>
          <w:spacing w:val="-47"/>
        </w:rPr>
        <w:t xml:space="preserve"> </w:t>
      </w:r>
      <w:r>
        <w:rPr>
          <w:spacing w:val="-1"/>
        </w:rPr>
        <w:t>年湖南浏阳的县试考题包含了维</w:t>
      </w:r>
      <w:r>
        <w:rPr>
          <w:spacing w:val="-2"/>
        </w:rPr>
        <w:t>新变法的主张（改制、伸民权、设议院等</w:t>
      </w:r>
      <w:r>
        <w:rPr>
          <w:spacing w:val="-56"/>
        </w:rPr>
        <w:t>），</w:t>
      </w:r>
      <w:r>
        <w:rPr>
          <w:spacing w:val="-2"/>
        </w:rPr>
        <w:t>说明湖南地区受到改良</w:t>
      </w:r>
      <w:r>
        <w:rPr>
          <w:spacing w:val="-1"/>
        </w:rPr>
        <w:t>思想的深刻影响，成为改良运动的重要阵地，正确。</w:t>
      </w:r>
    </w:p>
    <w:p w14:paraId="5368E542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6CFED8FD">
      <w:pPr>
        <w:pStyle w:val="2"/>
        <w:spacing w:before="219" w:line="411" w:lineRule="auto"/>
        <w:ind w:left="17" w:right="33" w:hanging="7"/>
        <w:jc w:val="both"/>
      </w:pPr>
      <w:r>
        <w:rPr>
          <w:rFonts w:ascii="Times New Roman" w:hAnsi="Times New Roman" w:eastAsia="Times New Roman" w:cs="Times New Roman"/>
        </w:rPr>
        <w:t xml:space="preserve">9.  </w:t>
      </w:r>
      <w:r>
        <w:t>近代中国某一历史时期，曾采用如下策略收回国家主权：以群众运动为先导、军</w:t>
      </w:r>
      <w:r>
        <w:rPr>
          <w:spacing w:val="-1"/>
        </w:rPr>
        <w:t>队为后盾，通过街头冲</w:t>
      </w:r>
      <w:r>
        <w:t>突、军警开进、谈判解决依次推进。这使英国在中国军队到来之时</w:t>
      </w:r>
      <w:r>
        <w:rPr>
          <w:spacing w:val="-1"/>
        </w:rPr>
        <w:t>主动交还镇江英租界。这一场景发生于</w:t>
      </w:r>
      <w:r>
        <w:rPr>
          <w:spacing w:val="19"/>
          <w:w w:val="110"/>
        </w:rPr>
        <w:t>(</w:t>
      </w:r>
      <w:r>
        <w:rPr>
          <w:spacing w:val="20"/>
        </w:rPr>
        <w:t xml:space="preserve">   </w:t>
      </w:r>
      <w:r>
        <w:rPr>
          <w:spacing w:val="19"/>
          <w:w w:val="110"/>
        </w:rPr>
        <w:t>)</w:t>
      </w:r>
    </w:p>
    <w:p w14:paraId="57182132">
      <w:pPr>
        <w:pStyle w:val="2"/>
        <w:spacing w:before="1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辛亥革命时期</w:t>
      </w:r>
      <w:r>
        <w:rPr>
          <w:spacing w:val="2"/>
        </w:rPr>
        <w:t xml:space="preserve">  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五四运动时期</w:t>
      </w:r>
    </w:p>
    <w:p w14:paraId="2A6EB517">
      <w:pPr>
        <w:pStyle w:val="2"/>
        <w:spacing w:before="219" w:line="411" w:lineRule="auto"/>
        <w:ind w:right="330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2"/>
        </w:rPr>
        <w:t>C.</w:t>
      </w:r>
      <w:r>
        <w:rPr>
          <w:rFonts w:ascii="Times New Roman" w:hAnsi="Times New Roman" w:eastAsia="Times New Roman" w:cs="Times New Roman"/>
          <w:spacing w:val="23"/>
        </w:rPr>
        <w:t xml:space="preserve">  </w:t>
      </w:r>
      <w:r>
        <w:rPr>
          <w:spacing w:val="-2"/>
        </w:rPr>
        <w:t xml:space="preserve">国民革命时期                                </w:t>
      </w:r>
      <w:r>
        <w:rPr>
          <w:rFonts w:ascii="Times New Roman" w:hAnsi="Times New Roman" w:eastAsia="Times New Roman" w:cs="Times New Roman"/>
          <w:spacing w:val="-2"/>
        </w:rPr>
        <w:t xml:space="preserve">D.  </w:t>
      </w:r>
      <w:r>
        <w:rPr>
          <w:spacing w:val="-2"/>
        </w:rPr>
        <w:t>抗日战争时期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582580CF">
      <w:pPr>
        <w:pStyle w:val="2"/>
        <w:spacing w:line="220" w:lineRule="auto"/>
      </w:pPr>
      <w:r>
        <w:rPr>
          <w:color w:val="2E75B6"/>
        </w:rPr>
        <w:t>【解析】</w:t>
      </w:r>
    </w:p>
    <w:p w14:paraId="7C197A9E">
      <w:pPr>
        <w:pStyle w:val="2"/>
        <w:spacing w:before="219" w:line="411" w:lineRule="auto"/>
        <w:ind w:left="12" w:right="85" w:hanging="13"/>
      </w:pPr>
      <w:r>
        <w:t>【详解】A.辛亥革命时期，未出现以群众运动为先导、军队为后盾收回租界的大规模行动，且此时英国并</w:t>
      </w:r>
      <w:r>
        <w:rPr>
          <w:spacing w:val="-1"/>
        </w:rPr>
        <w:t>未主动交还镇江英租界，错误。</w:t>
      </w:r>
    </w:p>
    <w:p w14:paraId="71DD9846">
      <w:pPr>
        <w:pStyle w:val="2"/>
        <w:spacing w:before="1" w:line="315" w:lineRule="auto"/>
        <w:ind w:left="9" w:right="85" w:hanging="4"/>
      </w:pPr>
      <w:r>
        <w:t>B.五四运动时期，主要是学生和工人的爱国运动，未形成军队介入、谈判收回租界的完整策略</w:t>
      </w:r>
      <w:r>
        <w:rPr>
          <w:spacing w:val="-1"/>
        </w:rPr>
        <w:t>，也未收回镇江英租界，错误。</w:t>
      </w:r>
    </w:p>
    <w:p w14:paraId="1DB05724">
      <w:pPr>
        <w:pStyle w:val="2"/>
        <w:spacing w:before="218" w:line="315" w:lineRule="auto"/>
        <w:ind w:left="10" w:right="85" w:hanging="2"/>
      </w:pPr>
      <w:r>
        <w:t>C.国民革命时期，北伐战争胜利推进，工农运动蓬勃发展，形成群众运动配合军事行动的反</w:t>
      </w:r>
      <w:r>
        <w:rPr>
          <w:spacing w:val="-1"/>
        </w:rPr>
        <w:t>帝浪潮，1927年北伐军进抵镇江时，英国迫于压力主动交还镇江英租界，正确。</w:t>
      </w:r>
    </w:p>
    <w:p w14:paraId="19712D92">
      <w:pPr>
        <w:pStyle w:val="2"/>
        <w:spacing w:before="220" w:line="315" w:lineRule="auto"/>
        <w:ind w:left="10" w:right="85" w:hanging="5"/>
      </w:pPr>
      <w:r>
        <w:t>D.抗日战争时期，镇江英租界此前已被收回，且此时收回租界的背景是反法西斯同盟建立后</w:t>
      </w:r>
      <w:r>
        <w:rPr>
          <w:spacing w:val="-1"/>
        </w:rPr>
        <w:t>国民政府与英美改订新约，与题干所述策略不符，错误。</w:t>
      </w:r>
    </w:p>
    <w:p w14:paraId="0DDE0789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3AA9B839">
      <w:pPr>
        <w:pStyle w:val="2"/>
        <w:spacing w:before="219" w:line="413" w:lineRule="auto"/>
        <w:ind w:left="28" w:right="33" w:hanging="2"/>
      </w:pPr>
      <w:r>
        <w:rPr>
          <w:rFonts w:ascii="Times New Roman" w:hAnsi="Times New Roman" w:eastAsia="Times New Roman" w:cs="Times New Roman"/>
          <w:spacing w:val="-4"/>
        </w:rPr>
        <w:t>10.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1941 </w:t>
      </w:r>
      <w:r>
        <w:rPr>
          <w:spacing w:val="-4"/>
        </w:rPr>
        <w:t>年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3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spacing w:val="-4"/>
        </w:rPr>
        <w:t>月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8  </w:t>
      </w:r>
      <w:r>
        <w:rPr>
          <w:spacing w:val="-4"/>
        </w:rPr>
        <w:t>日，中共中央妇女</w:t>
      </w:r>
      <w:r>
        <w:rPr>
          <w:spacing w:val="-5"/>
        </w:rPr>
        <w:t>运动委员会主办的《中国妇女》刊载了一幅宣传画（下图）。该画体现了这一时期的妇女运动 (</w:t>
      </w:r>
      <w:r>
        <w:rPr>
          <w:spacing w:val="22"/>
        </w:rPr>
        <w:t xml:space="preserve">   </w:t>
      </w:r>
      <w:r>
        <w:rPr>
          <w:spacing w:val="-5"/>
        </w:rPr>
        <w:t>)</w:t>
      </w:r>
    </w:p>
    <w:p w14:paraId="5578513A">
      <w:pPr>
        <w:spacing w:line="245" w:lineRule="auto"/>
        <w:rPr>
          <w:rFonts w:ascii="Arial"/>
          <w:sz w:val="21"/>
        </w:rPr>
      </w:pPr>
    </w:p>
    <w:p w14:paraId="1B190F69">
      <w:pPr>
        <w:spacing w:line="246" w:lineRule="auto"/>
        <w:rPr>
          <w:rFonts w:ascii="Arial"/>
          <w:sz w:val="21"/>
        </w:rPr>
      </w:pPr>
    </w:p>
    <w:p w14:paraId="1FACFE32">
      <w:pPr>
        <w:spacing w:line="246" w:lineRule="auto"/>
        <w:rPr>
          <w:rFonts w:ascii="Arial"/>
          <w:sz w:val="21"/>
        </w:rPr>
      </w:pPr>
    </w:p>
    <w:p w14:paraId="5C2EC185">
      <w:pPr>
        <w:pStyle w:val="2"/>
        <w:spacing w:before="68" w:line="219" w:lineRule="auto"/>
        <w:ind w:left="4170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5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15</w:t>
      </w:r>
      <w:r>
        <w:rPr>
          <w:spacing w:val="-6"/>
        </w:rPr>
        <w:t>页</w:t>
      </w:r>
    </w:p>
    <w:p w14:paraId="1A7B49DA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60DD8F0B">
      <w:pPr>
        <w:spacing w:line="244" w:lineRule="auto"/>
        <w:rPr>
          <w:rFonts w:ascii="Arial"/>
          <w:sz w:val="21"/>
        </w:rPr>
      </w:pPr>
    </w:p>
    <w:p w14:paraId="7A184DAE">
      <w:pPr>
        <w:spacing w:line="245" w:lineRule="auto"/>
        <w:rPr>
          <w:rFonts w:ascii="Arial"/>
          <w:sz w:val="21"/>
        </w:rPr>
      </w:pPr>
    </w:p>
    <w:p w14:paraId="152D262E">
      <w:pPr>
        <w:spacing w:line="375" w:lineRule="exact"/>
        <w:ind w:firstLine="1440"/>
      </w:pPr>
      <w:r>
        <w:pict>
          <v:rect id="_x0000_s1026" o:spid="_x0000_s1026" o:spt="1" style="position:absolute;left:0pt;margin-left:357pt;margin-top:28.85pt;height:0.75pt;width:0.75pt;z-index:251663360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</w:p>
    <w:p w14:paraId="5FBC1D2E">
      <w:pPr>
        <w:spacing w:line="52" w:lineRule="exact"/>
      </w:pPr>
    </w:p>
    <w:tbl>
      <w:tblPr>
        <w:tblStyle w:val="6"/>
        <w:tblW w:w="502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5"/>
        <w:gridCol w:w="2640"/>
      </w:tblGrid>
      <w:tr w14:paraId="2E63F5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0" w:hRule="atLeast"/>
        </w:trPr>
        <w:tc>
          <w:tcPr>
            <w:tcW w:w="2385" w:type="dxa"/>
            <w:vAlign w:val="top"/>
          </w:tcPr>
          <w:p w14:paraId="221C6076">
            <w:pPr>
              <w:spacing w:before="195" w:line="2115" w:lineRule="exact"/>
              <w:ind w:firstLine="105"/>
            </w:pPr>
            <w:r>
              <w:rPr>
                <w:position w:val="-42"/>
              </w:rPr>
              <w:drawing>
                <wp:inline distT="0" distB="0" distL="0" distR="0">
                  <wp:extent cx="1362075" cy="1343025"/>
                  <wp:effectExtent l="0" t="0" r="0" b="0"/>
                  <wp:docPr id="40" name="IM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 4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  <w:vAlign w:val="top"/>
          </w:tcPr>
          <w:p w14:paraId="1C7D37DA">
            <w:pPr>
              <w:pStyle w:val="7"/>
              <w:spacing w:before="206" w:line="219" w:lineRule="auto"/>
              <w:ind w:left="133"/>
            </w:pPr>
            <w:r>
              <w:rPr>
                <w:spacing w:val="-6"/>
              </w:rPr>
              <w:t>图中文字：</w:t>
            </w:r>
          </w:p>
          <w:p w14:paraId="227DFF13">
            <w:pPr>
              <w:pStyle w:val="7"/>
              <w:spacing w:before="218" w:line="220" w:lineRule="auto"/>
              <w:ind w:left="118"/>
            </w:pPr>
            <w:r>
              <w:rPr>
                <w:spacing w:val="-6"/>
              </w:rPr>
              <w:t>纪念“三八</w:t>
            </w:r>
            <w:r>
              <w:rPr>
                <w:spacing w:val="-78"/>
              </w:rPr>
              <w:t xml:space="preserve"> </w:t>
            </w:r>
            <w:r>
              <w:rPr>
                <w:spacing w:val="-6"/>
              </w:rPr>
              <w:t>”节</w:t>
            </w:r>
          </w:p>
          <w:p w14:paraId="290F6739">
            <w:pPr>
              <w:pStyle w:val="7"/>
              <w:spacing w:before="218" w:line="411" w:lineRule="auto"/>
              <w:ind w:left="114" w:right="237"/>
            </w:pPr>
            <w:r>
              <w:rPr>
                <w:spacing w:val="-4"/>
              </w:rPr>
              <w:t>反对世界帝国主义大战！</w:t>
            </w:r>
            <w:r>
              <w:rPr>
                <w:spacing w:val="-2"/>
              </w:rPr>
              <w:t>反对投降分裂！</w:t>
            </w:r>
          </w:p>
          <w:p w14:paraId="7EA43A78">
            <w:pPr>
              <w:pStyle w:val="7"/>
              <w:spacing w:line="219" w:lineRule="auto"/>
              <w:ind w:left="114"/>
            </w:pPr>
            <w:r>
              <w:rPr>
                <w:spacing w:val="-2"/>
              </w:rPr>
              <w:t>保护妇女切身利益！</w:t>
            </w:r>
          </w:p>
        </w:tc>
      </w:tr>
    </w:tbl>
    <w:p w14:paraId="22E9CE4D">
      <w:pPr>
        <w:spacing w:line="263" w:lineRule="auto"/>
        <w:rPr>
          <w:rFonts w:ascii="Arial"/>
          <w:sz w:val="21"/>
        </w:rPr>
      </w:pPr>
    </w:p>
    <w:p w14:paraId="1582D1C9">
      <w:pPr>
        <w:spacing w:line="263" w:lineRule="auto"/>
        <w:rPr>
          <w:rFonts w:ascii="Arial"/>
          <w:sz w:val="21"/>
        </w:rPr>
      </w:pPr>
    </w:p>
    <w:p w14:paraId="34FE312E">
      <w:pPr>
        <w:pStyle w:val="2"/>
        <w:spacing w:before="68" w:line="219" w:lineRule="auto"/>
        <w:ind w:left="121"/>
      </w:pPr>
      <w:r>
        <w:rPr>
          <w:rFonts w:ascii="Times New Roman" w:hAnsi="Times New Roman" w:eastAsia="Times New Roman" w:cs="Times New Roman"/>
        </w:rPr>
        <w:t xml:space="preserve">A.  </w:t>
      </w:r>
      <w:r>
        <w:t>服务于民族的解放</w:t>
      </w:r>
      <w:r>
        <w:rPr>
          <w:spacing w:val="2"/>
        </w:rPr>
        <w:t xml:space="preserve">                         </w:t>
      </w:r>
      <w:r>
        <w:rPr>
          <w:spacing w:val="1"/>
        </w:rPr>
        <w:t xml:space="preserve">  </w:t>
      </w:r>
      <w:r>
        <w:rPr>
          <w:rFonts w:ascii="Times New Roman" w:hAnsi="Times New Roman" w:eastAsia="Times New Roman" w:cs="Times New Roman"/>
        </w:rPr>
        <w:t xml:space="preserve">B.  </w:t>
      </w:r>
      <w:r>
        <w:t>促成了民</w:t>
      </w:r>
      <w:r>
        <w:rPr>
          <w:spacing w:val="-1"/>
        </w:rPr>
        <w:t>族统一战线建立</w:t>
      </w:r>
    </w:p>
    <w:p w14:paraId="6A871423">
      <w:pPr>
        <w:pStyle w:val="2"/>
        <w:spacing w:before="220" w:line="411" w:lineRule="auto"/>
        <w:ind w:left="118" w:right="2416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致力推翻国民政府</w:t>
      </w:r>
      <w:r>
        <w:rPr>
          <w:spacing w:val="3"/>
        </w:rPr>
        <w:t xml:space="preserve">                       </w:t>
      </w:r>
      <w:r>
        <w:rPr>
          <w:spacing w:val="2"/>
        </w:rPr>
        <w:t xml:space="preserve">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确保了妇女自身权益实现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A</w:t>
      </w:r>
    </w:p>
    <w:p w14:paraId="45D92913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19C12E71">
      <w:pPr>
        <w:pStyle w:val="2"/>
        <w:spacing w:before="218" w:line="411" w:lineRule="auto"/>
        <w:ind w:left="133" w:right="196" w:hanging="15"/>
      </w:pPr>
      <w:r>
        <w:rPr>
          <w:spacing w:val="1"/>
        </w:rPr>
        <w:t>【详解】A.1941年处于抗日战争时期，宣传画中的“反对世界帝国主义大战！反对投降分裂！保护妇女切</w:t>
      </w:r>
      <w:r>
        <w:rPr>
          <w:spacing w:val="-4"/>
        </w:rPr>
        <w:t>身利益！”,</w:t>
      </w:r>
      <w:r>
        <w:rPr>
          <w:spacing w:val="56"/>
        </w:rPr>
        <w:t xml:space="preserve"> </w:t>
      </w:r>
      <w:r>
        <w:rPr>
          <w:spacing w:val="-4"/>
        </w:rPr>
        <w:t>体现出妇女运动以抗日救亡、争取民族解放为核心目标，服务于民族解放事业，正确。</w:t>
      </w:r>
    </w:p>
    <w:p w14:paraId="5331F0DB">
      <w:pPr>
        <w:pStyle w:val="2"/>
        <w:spacing w:before="1" w:line="218" w:lineRule="auto"/>
        <w:ind w:left="123"/>
      </w:pPr>
      <w:r>
        <w:rPr>
          <w:spacing w:val="-1"/>
        </w:rPr>
        <w:t>B.抗日民族统一战线在</w:t>
      </w:r>
      <w:r>
        <w:rPr>
          <w:spacing w:val="-26"/>
        </w:rPr>
        <w:t xml:space="preserve"> </w:t>
      </w:r>
      <w:r>
        <w:rPr>
          <w:spacing w:val="-1"/>
        </w:rPr>
        <w:t>1937</w:t>
      </w:r>
      <w:r>
        <w:rPr>
          <w:spacing w:val="-44"/>
        </w:rPr>
        <w:t xml:space="preserve"> </w:t>
      </w:r>
      <w:r>
        <w:rPr>
          <w:spacing w:val="-1"/>
        </w:rPr>
        <w:t>年就已正式建立，并非这一时期妇女运动促成的，错误。</w:t>
      </w:r>
    </w:p>
    <w:p w14:paraId="2DB7EDD2">
      <w:pPr>
        <w:pStyle w:val="2"/>
        <w:spacing w:before="219" w:line="219" w:lineRule="auto"/>
        <w:ind w:left="126"/>
      </w:pPr>
      <w:r>
        <w:t>C.此时处于国共合作抗日阶段，中共的主要任务是团结抗日，并非推翻</w:t>
      </w:r>
      <w:r>
        <w:rPr>
          <w:spacing w:val="-1"/>
        </w:rPr>
        <w:t>国民政府，错误。</w:t>
      </w:r>
    </w:p>
    <w:p w14:paraId="07A53534">
      <w:pPr>
        <w:pStyle w:val="2"/>
        <w:spacing w:before="219" w:line="316" w:lineRule="auto"/>
        <w:ind w:left="131" w:right="699" w:hanging="7"/>
      </w:pPr>
      <w:r>
        <w:rPr>
          <w:spacing w:val="-1"/>
        </w:rPr>
        <w:t>D.当时的首要任务是民族解放，妇女权益的实现是长期过</w:t>
      </w:r>
      <w:r>
        <w:rPr>
          <w:spacing w:val="-2"/>
        </w:rPr>
        <w:t>程，且题干未体现“确保</w:t>
      </w:r>
      <w:r>
        <w:rPr>
          <w:spacing w:val="-77"/>
        </w:rPr>
        <w:t xml:space="preserve"> </w:t>
      </w:r>
      <w:r>
        <w:rPr>
          <w:spacing w:val="-2"/>
        </w:rPr>
        <w:t>”的结果，错误。</w:t>
      </w:r>
      <w:r>
        <w:rPr>
          <w:spacing w:val="-5"/>
        </w:rPr>
        <w:t>故选</w:t>
      </w:r>
      <w:r>
        <w:rPr>
          <w:spacing w:val="-51"/>
        </w:rPr>
        <w:t xml:space="preserve"> </w:t>
      </w:r>
      <w:r>
        <w:rPr>
          <w:spacing w:val="-5"/>
        </w:rPr>
        <w:t>A</w:t>
      </w:r>
      <w:r>
        <w:rPr>
          <w:spacing w:val="-41"/>
        </w:rPr>
        <w:t xml:space="preserve"> </w:t>
      </w:r>
      <w:r>
        <w:rPr>
          <w:spacing w:val="-5"/>
        </w:rPr>
        <w:t>项。</w:t>
      </w:r>
    </w:p>
    <w:p w14:paraId="1BA01522">
      <w:pPr>
        <w:pStyle w:val="2"/>
        <w:spacing w:before="218" w:line="315" w:lineRule="auto"/>
        <w:ind w:left="129" w:right="204" w:firstLine="15"/>
      </w:pPr>
      <w:r>
        <w:rPr>
          <w:rFonts w:ascii="Times New Roman" w:hAnsi="Times New Roman" w:eastAsia="Times New Roman" w:cs="Times New Roman"/>
          <w:spacing w:val="-1"/>
        </w:rPr>
        <w:t xml:space="preserve">11. 20 </w:t>
      </w:r>
      <w:r>
        <w:rPr>
          <w:spacing w:val="-1"/>
        </w:rPr>
        <w:t>世纪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90 </w:t>
      </w:r>
      <w:r>
        <w:rPr>
          <w:spacing w:val="-1"/>
        </w:rPr>
        <w:t>年代，我国某村庄刷有“不恋家乡三分田，外出务</w:t>
      </w:r>
      <w:r>
        <w:rPr>
          <w:spacing w:val="-2"/>
        </w:rPr>
        <w:t>工挣大钱</w:t>
      </w:r>
      <w:r>
        <w:rPr>
          <w:spacing w:val="-78"/>
        </w:rPr>
        <w:t xml:space="preserve"> </w:t>
      </w:r>
      <w:r>
        <w:rPr>
          <w:spacing w:val="-2"/>
        </w:rPr>
        <w:t>”的标语；近年来，随着电商经济的发展，标语变成了“在外东奔西跑，不如回家淘宝</w:t>
      </w:r>
      <w:r>
        <w:rPr>
          <w:spacing w:val="-74"/>
        </w:rPr>
        <w:t xml:space="preserve"> </w:t>
      </w:r>
      <w:r>
        <w:rPr>
          <w:spacing w:val="-2"/>
        </w:rPr>
        <w:t>”。这一变化反映了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19BF4B6D">
      <w:pPr>
        <w:pStyle w:val="2"/>
        <w:spacing w:before="219" w:line="219" w:lineRule="auto"/>
        <w:ind w:left="121"/>
      </w:pPr>
      <w:r>
        <w:rPr>
          <w:rFonts w:ascii="Times New Roman" w:hAnsi="Times New Roman" w:eastAsia="Times New Roman" w:cs="Times New Roman"/>
        </w:rPr>
        <w:t xml:space="preserve">A.  </w:t>
      </w:r>
      <w:r>
        <w:t>产业结构不断优化升级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人口流动</w:t>
      </w:r>
      <w:r>
        <w:rPr>
          <w:spacing w:val="-1"/>
        </w:rPr>
        <w:t>取决于就业观念</w:t>
      </w:r>
    </w:p>
    <w:p w14:paraId="6C9542BE">
      <w:pPr>
        <w:pStyle w:val="2"/>
        <w:spacing w:before="220" w:line="411" w:lineRule="auto"/>
        <w:ind w:left="118" w:right="2416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经济体制改革目标转换</w:t>
      </w:r>
      <w:r>
        <w:rPr>
          <w:spacing w:val="3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世界经济全球化持续推进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A</w:t>
      </w:r>
    </w:p>
    <w:p w14:paraId="226EFD74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3B07FB70">
      <w:pPr>
        <w:pStyle w:val="2"/>
        <w:spacing w:before="218" w:line="411" w:lineRule="auto"/>
        <w:ind w:left="128" w:hanging="10"/>
      </w:pPr>
      <w:r>
        <w:rPr>
          <w:spacing w:val="-3"/>
        </w:rPr>
        <w:t>【详解】A.20</w:t>
      </w:r>
      <w:r>
        <w:rPr>
          <w:spacing w:val="-33"/>
        </w:rPr>
        <w:t xml:space="preserve"> </w:t>
      </w:r>
      <w:r>
        <w:rPr>
          <w:spacing w:val="-3"/>
        </w:rPr>
        <w:t>世纪</w:t>
      </w:r>
      <w:r>
        <w:rPr>
          <w:spacing w:val="-46"/>
        </w:rPr>
        <w:t xml:space="preserve"> </w:t>
      </w:r>
      <w:r>
        <w:rPr>
          <w:spacing w:val="-3"/>
        </w:rPr>
        <w:t>90</w:t>
      </w:r>
      <w:r>
        <w:rPr>
          <w:spacing w:val="-47"/>
        </w:rPr>
        <w:t xml:space="preserve"> </w:t>
      </w:r>
      <w:r>
        <w:rPr>
          <w:spacing w:val="-3"/>
        </w:rPr>
        <w:t>年代，村民外出务工，反映了农村劳动力向第二、三产业转移；近年来电商经济兴起，</w:t>
      </w:r>
      <w:r>
        <w:t>村民返乡从事电商行业，体现了农村产业结构从传统农业、外出务工向以电商为</w:t>
      </w:r>
      <w:r>
        <w:rPr>
          <w:spacing w:val="-1"/>
        </w:rPr>
        <w:t>代表的服务业优化升级，</w:t>
      </w:r>
    </w:p>
    <w:p w14:paraId="6F9AA479">
      <w:pPr>
        <w:pStyle w:val="2"/>
        <w:spacing w:line="220" w:lineRule="auto"/>
        <w:ind w:left="132"/>
      </w:pPr>
      <w:r>
        <w:rPr>
          <w:spacing w:val="-5"/>
        </w:rPr>
        <w:t>正确。</w:t>
      </w:r>
    </w:p>
    <w:p w14:paraId="16BA63FD">
      <w:pPr>
        <w:pStyle w:val="2"/>
        <w:spacing w:before="218" w:line="219" w:lineRule="auto"/>
        <w:ind w:left="123"/>
      </w:pPr>
      <w:r>
        <w:t>B.人口流动主要取决于经济发展水平和就业机会，而非单纯的就业观</w:t>
      </w:r>
      <w:r>
        <w:rPr>
          <w:spacing w:val="-1"/>
        </w:rPr>
        <w:t>念，错误。</w:t>
      </w:r>
    </w:p>
    <w:p w14:paraId="4CA62AEE">
      <w:pPr>
        <w:pStyle w:val="2"/>
        <w:spacing w:before="219" w:line="219" w:lineRule="auto"/>
        <w:ind w:left="126"/>
      </w:pPr>
      <w:r>
        <w:t>C.我国经济体制改革的目标是建立社会主义市场经济体制，并未</w:t>
      </w:r>
      <w:r>
        <w:rPr>
          <w:spacing w:val="-1"/>
        </w:rPr>
        <w:t>发生转换，错误。</w:t>
      </w:r>
    </w:p>
    <w:p w14:paraId="73436840">
      <w:pPr>
        <w:pStyle w:val="2"/>
        <w:spacing w:before="218" w:line="316" w:lineRule="auto"/>
        <w:ind w:left="131" w:right="1329" w:hanging="7"/>
      </w:pPr>
      <w:r>
        <w:rPr>
          <w:spacing w:val="-1"/>
        </w:rPr>
        <w:t>D.材料反映的是国内电商经济发展对人口流动的影响，与世界经济全球化无直接关联，错误。</w:t>
      </w:r>
      <w:r>
        <w:rPr>
          <w:spacing w:val="-5"/>
        </w:rPr>
        <w:t>故选</w:t>
      </w:r>
      <w:r>
        <w:rPr>
          <w:spacing w:val="-51"/>
        </w:rPr>
        <w:t xml:space="preserve"> </w:t>
      </w:r>
      <w:r>
        <w:rPr>
          <w:spacing w:val="-5"/>
        </w:rPr>
        <w:t>A</w:t>
      </w:r>
      <w:r>
        <w:rPr>
          <w:spacing w:val="-41"/>
        </w:rPr>
        <w:t xml:space="preserve"> </w:t>
      </w:r>
      <w:r>
        <w:rPr>
          <w:spacing w:val="-5"/>
        </w:rPr>
        <w:t>项。</w:t>
      </w:r>
    </w:p>
    <w:p w14:paraId="6F011FE7">
      <w:pPr>
        <w:spacing w:line="314" w:lineRule="auto"/>
        <w:rPr>
          <w:rFonts w:ascii="Arial"/>
          <w:sz w:val="21"/>
        </w:rPr>
      </w:pPr>
    </w:p>
    <w:p w14:paraId="37E851FA">
      <w:pPr>
        <w:pStyle w:val="2"/>
        <w:spacing w:before="69" w:line="219" w:lineRule="auto"/>
        <w:ind w:left="4289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6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15</w:t>
      </w:r>
      <w:r>
        <w:rPr>
          <w:spacing w:val="-6"/>
        </w:rPr>
        <w:t>页</w:t>
      </w:r>
    </w:p>
    <w:p w14:paraId="60475BFC">
      <w:pPr>
        <w:spacing w:line="219" w:lineRule="auto"/>
        <w:sectPr>
          <w:pgSz w:w="11900" w:h="16839"/>
          <w:pgMar w:top="400" w:right="910" w:bottom="0" w:left="960" w:header="0" w:footer="0" w:gutter="0"/>
          <w:cols w:space="720" w:num="1"/>
        </w:sectPr>
      </w:pPr>
    </w:p>
    <w:p w14:paraId="7FA5789E">
      <w:pPr>
        <w:spacing w:line="244" w:lineRule="auto"/>
        <w:rPr>
          <w:rFonts w:ascii="Arial"/>
          <w:sz w:val="21"/>
        </w:rPr>
      </w:pPr>
    </w:p>
    <w:p w14:paraId="255502F8">
      <w:pPr>
        <w:spacing w:line="245" w:lineRule="auto"/>
        <w:rPr>
          <w:rFonts w:ascii="Arial"/>
          <w:sz w:val="21"/>
        </w:rPr>
      </w:pPr>
    </w:p>
    <w:p w14:paraId="762BCF07">
      <w:pPr>
        <w:spacing w:line="375" w:lineRule="exact"/>
        <w:ind w:firstLine="1321"/>
      </w:pPr>
    </w:p>
    <w:p w14:paraId="57932D4A">
      <w:pPr>
        <w:pStyle w:val="2"/>
        <w:spacing w:before="183" w:line="411" w:lineRule="auto"/>
        <w:ind w:left="10" w:firstLine="15"/>
      </w:pPr>
      <w:r>
        <w:rPr>
          <w:rFonts w:ascii="Times New Roman" w:hAnsi="Times New Roman" w:eastAsia="Times New Roman" w:cs="Times New Roman"/>
          <w:spacing w:val="-2"/>
        </w:rPr>
        <w:t xml:space="preserve">12.  </w:t>
      </w:r>
      <w:r>
        <w:rPr>
          <w:spacing w:val="-2"/>
        </w:rPr>
        <w:t>罗马帝国时期，小亚细亚一位作家在其著作中介绍诸神谱系时，列举了希腊和埃及的诸多神灵，同时对埃及神灵的灵验程度持怀疑态度。这反映了 (</w:t>
      </w:r>
      <w:r>
        <w:rPr>
          <w:spacing w:val="21"/>
        </w:rPr>
        <w:t xml:space="preserve">   </w:t>
      </w:r>
      <w:r>
        <w:rPr>
          <w:spacing w:val="-2"/>
        </w:rPr>
        <w:t>)</w:t>
      </w:r>
    </w:p>
    <w:p w14:paraId="59BA3B71">
      <w:pPr>
        <w:pStyle w:val="2"/>
        <w:spacing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罗马帝国的区域性扩张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希腊化</w:t>
      </w:r>
      <w:r>
        <w:rPr>
          <w:spacing w:val="-1"/>
        </w:rPr>
        <w:t>时代的文化融合</w:t>
      </w:r>
    </w:p>
    <w:p w14:paraId="047EA8B8">
      <w:pPr>
        <w:pStyle w:val="2"/>
        <w:spacing w:before="219" w:line="411" w:lineRule="auto"/>
        <w:ind w:right="246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多元文化推动文明进步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不同文化在交流中</w:t>
      </w:r>
      <w:r>
        <w:rPr>
          <w:spacing w:val="-2"/>
        </w:rPr>
        <w:t>碰撞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4E1E4CB2">
      <w:pPr>
        <w:pStyle w:val="2"/>
        <w:spacing w:line="220" w:lineRule="auto"/>
      </w:pPr>
      <w:r>
        <w:rPr>
          <w:color w:val="2E75B6"/>
        </w:rPr>
        <w:t>【解析】</w:t>
      </w:r>
    </w:p>
    <w:p w14:paraId="4D5E24E5">
      <w:pPr>
        <w:pStyle w:val="2"/>
        <w:spacing w:before="217" w:line="219" w:lineRule="auto"/>
      </w:pPr>
      <w:r>
        <w:t>【详解】A.罗马帝国的区域性扩张是文化交流的背景，但题干核心是不同文化间的互动，错误。</w:t>
      </w:r>
    </w:p>
    <w:p w14:paraId="30469E09">
      <w:pPr>
        <w:pStyle w:val="2"/>
        <w:spacing w:before="219" w:line="219" w:lineRule="auto"/>
        <w:ind w:left="5"/>
      </w:pPr>
      <w:r>
        <w:t>B.希腊化时代早于罗马帝国时期，且题干并非强调文化融合，而是体现对异文化神灵的怀疑态</w:t>
      </w:r>
      <w:r>
        <w:rPr>
          <w:spacing w:val="-1"/>
        </w:rPr>
        <w:t>度，错误。</w:t>
      </w:r>
    </w:p>
    <w:p w14:paraId="727B1D29">
      <w:pPr>
        <w:pStyle w:val="2"/>
        <w:spacing w:before="219" w:line="219" w:lineRule="auto"/>
        <w:ind w:left="8"/>
      </w:pPr>
      <w:r>
        <w:rPr>
          <w:spacing w:val="-1"/>
        </w:rPr>
        <w:t>C.题干未体现多元文化推动文明进步的内容，错误。</w:t>
      </w:r>
    </w:p>
    <w:p w14:paraId="569D1B55">
      <w:pPr>
        <w:pStyle w:val="2"/>
        <w:spacing w:before="220" w:line="315" w:lineRule="auto"/>
        <w:ind w:left="13" w:right="85" w:hanging="8"/>
      </w:pPr>
      <w:r>
        <w:t>D.该作家能够同时了解希腊、埃及的神灵，说明不同文化之间存在交流；其对埃及神灵持怀</w:t>
      </w:r>
      <w:r>
        <w:rPr>
          <w:spacing w:val="-1"/>
        </w:rPr>
        <w:t>疑态度，说明交流过程中存在差异与冲突，即不同文化在交流中碰撞，正确。</w:t>
      </w:r>
    </w:p>
    <w:p w14:paraId="67FDED96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39C0B738">
      <w:pPr>
        <w:pStyle w:val="2"/>
        <w:spacing w:before="218" w:line="411" w:lineRule="auto"/>
        <w:ind w:left="13" w:firstLine="13"/>
      </w:pPr>
      <w:r>
        <w:rPr>
          <w:rFonts w:ascii="Times New Roman" w:hAnsi="Times New Roman" w:eastAsia="Times New Roman" w:cs="Times New Roman"/>
          <w:spacing w:val="-2"/>
        </w:rPr>
        <w:t>13.</w:t>
      </w:r>
      <w:r>
        <w:rPr>
          <w:rFonts w:ascii="Times New Roman" w:hAnsi="Times New Roman" w:eastAsia="Times New Roman" w:cs="Times New Roman"/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15 </w:t>
      </w:r>
      <w:r>
        <w:rPr>
          <w:spacing w:val="-2"/>
        </w:rPr>
        <w:t>世纪中期，威尼斯人毛罗在绘制地图时，以中世纪</w:t>
      </w:r>
      <w:r>
        <w:rPr>
          <w:spacing w:val="-3"/>
        </w:rPr>
        <w:t>世界地图为蓝本，增加了当时欧洲航海报告中关于</w:t>
      </w:r>
      <w:r>
        <w:rPr>
          <w:spacing w:val="-1"/>
        </w:rPr>
        <w:t>非洲海岸、大西洋岛屿以及贸易航线的最新信息。</w:t>
      </w:r>
      <w:r>
        <w:rPr>
          <w:spacing w:val="-2"/>
        </w:rPr>
        <w:t>这反映当时欧洲人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17AE6515">
      <w:pPr>
        <w:pStyle w:val="2"/>
        <w:spacing w:before="1" w:line="218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对古典文化的传承</w:t>
      </w:r>
      <w:r>
        <w:rPr>
          <w:spacing w:val="2"/>
        </w:rPr>
        <w:t xml:space="preserve">                         </w:t>
      </w:r>
      <w:r>
        <w:rPr>
          <w:spacing w:val="1"/>
        </w:rPr>
        <w:t xml:space="preserve">  </w:t>
      </w:r>
      <w:r>
        <w:rPr>
          <w:rFonts w:ascii="Times New Roman" w:hAnsi="Times New Roman" w:eastAsia="Times New Roman" w:cs="Times New Roman"/>
        </w:rPr>
        <w:t xml:space="preserve">B.  </w:t>
      </w:r>
      <w:r>
        <w:t>对天主</w:t>
      </w:r>
      <w:r>
        <w:rPr>
          <w:spacing w:val="-1"/>
        </w:rPr>
        <w:t>教会束缚的突破</w:t>
      </w:r>
    </w:p>
    <w:p w14:paraId="3AA2F586">
      <w:pPr>
        <w:pStyle w:val="2"/>
        <w:spacing w:before="220" w:line="411" w:lineRule="auto"/>
        <w:ind w:right="246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对商业利益的追逐</w:t>
      </w:r>
      <w:r>
        <w:rPr>
          <w:spacing w:val="3"/>
        </w:rPr>
        <w:t xml:space="preserve">                      </w:t>
      </w:r>
      <w:r>
        <w:rPr>
          <w:spacing w:val="2"/>
        </w:rPr>
        <w:t xml:space="preserve">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对地理知识体系的重构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0F51786C">
      <w:pPr>
        <w:pStyle w:val="2"/>
        <w:spacing w:line="220" w:lineRule="auto"/>
      </w:pPr>
      <w:r>
        <w:rPr>
          <w:color w:val="2E75B6"/>
        </w:rPr>
        <w:t>【解析】</w:t>
      </w:r>
    </w:p>
    <w:p w14:paraId="750CCE50">
      <w:pPr>
        <w:pStyle w:val="2"/>
        <w:spacing w:before="219" w:line="411" w:lineRule="auto"/>
        <w:ind w:left="8" w:right="132" w:hanging="9"/>
      </w:pPr>
      <w:r>
        <w:rPr>
          <w:spacing w:val="-1"/>
        </w:rPr>
        <w:t>【详解】A.材料以中世纪地图为蓝本，但重点是增加新的航海与贸易信息，并非体现对古典文化的传承，</w:t>
      </w:r>
      <w:r>
        <w:rPr>
          <w:spacing w:val="-3"/>
        </w:rPr>
        <w:t>错误。</w:t>
      </w:r>
    </w:p>
    <w:p w14:paraId="09D557A7">
      <w:pPr>
        <w:pStyle w:val="2"/>
        <w:spacing w:before="1" w:line="218" w:lineRule="auto"/>
        <w:ind w:left="5"/>
      </w:pPr>
      <w:r>
        <w:t>B.题干未涉及对天主教会束缚的突破，这一突破更多与宗教改革相关，与地图绘制无</w:t>
      </w:r>
      <w:r>
        <w:rPr>
          <w:spacing w:val="-1"/>
        </w:rPr>
        <w:t>关，错误。</w:t>
      </w:r>
    </w:p>
    <w:p w14:paraId="5DA8F941">
      <w:pPr>
        <w:pStyle w:val="2"/>
        <w:spacing w:before="220" w:line="411" w:lineRule="auto"/>
        <w:ind w:left="9" w:right="33" w:hanging="1"/>
      </w:pPr>
      <w:r>
        <w:t>C.15</w:t>
      </w:r>
      <w:r>
        <w:rPr>
          <w:spacing w:val="-45"/>
        </w:rPr>
        <w:t xml:space="preserve"> </w:t>
      </w:r>
      <w:r>
        <w:t>世纪中期欧洲商品经济发展，资本主义萌芽产生，社会对海外贸</w:t>
      </w:r>
      <w:r>
        <w:rPr>
          <w:spacing w:val="-1"/>
        </w:rPr>
        <w:t>易、财富的需求大幅提升，新增贸易</w:t>
      </w:r>
      <w:r>
        <w:t>航线等相关信息正是为商业活动服务，体现了当时欧洲人对商</w:t>
      </w:r>
      <w:r>
        <w:rPr>
          <w:spacing w:val="-1"/>
        </w:rPr>
        <w:t>业利益的追逐，正确。</w:t>
      </w:r>
    </w:p>
    <w:p w14:paraId="74D0EF5D">
      <w:pPr>
        <w:pStyle w:val="2"/>
        <w:spacing w:before="2" w:line="315" w:lineRule="auto"/>
        <w:ind w:left="12" w:right="1796" w:hanging="7"/>
      </w:pPr>
      <w:r>
        <w:rPr>
          <w:spacing w:val="-1"/>
        </w:rPr>
        <w:t>D.仅在原有地图基础上补充部分局部信息，远未达到重构地理知识体系的程度，错误。</w:t>
      </w: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15A73CEC">
      <w:pPr>
        <w:pStyle w:val="2"/>
        <w:spacing w:before="216" w:line="348" w:lineRule="auto"/>
        <w:ind w:left="9" w:firstLine="16"/>
      </w:pPr>
      <w:r>
        <w:rPr>
          <w:rFonts w:ascii="Times New Roman" w:hAnsi="Times New Roman" w:eastAsia="Times New Roman" w:cs="Times New Roman"/>
          <w:spacing w:val="-3"/>
        </w:rPr>
        <w:t>14.</w:t>
      </w:r>
      <w:r>
        <w:rPr>
          <w:rFonts w:ascii="Times New Roman" w:hAnsi="Times New Roman" w:eastAsia="Times New Roman" w:cs="Times New Roman"/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19 </w:t>
      </w:r>
      <w:r>
        <w:rPr>
          <w:spacing w:val="-3"/>
        </w:rPr>
        <w:t>世纪中叶，英国出现了“</w:t>
      </w:r>
      <w:r>
        <w:rPr>
          <w:spacing w:val="-74"/>
        </w:rPr>
        <w:t xml:space="preserve"> </w:t>
      </w:r>
      <w:r>
        <w:rPr>
          <w:spacing w:val="-3"/>
        </w:rPr>
        <w:t>比例</w:t>
      </w:r>
      <w:r>
        <w:rPr>
          <w:spacing w:val="-4"/>
        </w:rPr>
        <w:t>尺之争</w:t>
      </w:r>
      <w:r>
        <w:rPr>
          <w:spacing w:val="-77"/>
        </w:rPr>
        <w:t xml:space="preserve"> </w:t>
      </w:r>
      <w:r>
        <w:rPr>
          <w:spacing w:val="-4"/>
        </w:rPr>
        <w:t>”。其中一方主张沿用传统的小比例尺地图，而另一方坚持采用</w:t>
      </w:r>
      <w:r>
        <w:t>更清晰、详实的大比例尺地图，以满足土地产权登记、道路修建、大型排水工程建</w:t>
      </w:r>
      <w:r>
        <w:rPr>
          <w:spacing w:val="-1"/>
        </w:rPr>
        <w:t>设等需求。这一争论是</w:t>
      </w:r>
      <w:r>
        <w:rPr>
          <w:spacing w:val="-7"/>
        </w:rPr>
        <w:t>基于当时英国</w:t>
      </w:r>
      <w:r>
        <w:rPr>
          <w:spacing w:val="16"/>
        </w:rPr>
        <w:t xml:space="preserve"> </w:t>
      </w:r>
      <w:r>
        <w:rPr>
          <w:spacing w:val="-7"/>
        </w:rPr>
        <w:t>(</w:t>
      </w:r>
      <w:r>
        <w:rPr>
          <w:spacing w:val="20"/>
        </w:rPr>
        <w:t xml:space="preserve">   </w:t>
      </w:r>
      <w:r>
        <w:rPr>
          <w:spacing w:val="-7"/>
        </w:rPr>
        <w:t>)</w:t>
      </w:r>
    </w:p>
    <w:p w14:paraId="4052A1BD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地方治理模式的转型</w:t>
      </w:r>
      <w:r>
        <w:rPr>
          <w:spacing w:val="2"/>
        </w:rPr>
        <w:t xml:space="preserve">  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城市</w:t>
      </w:r>
      <w:r>
        <w:rPr>
          <w:spacing w:val="-1"/>
        </w:rPr>
        <w:t>发展进程的加快</w:t>
      </w:r>
    </w:p>
    <w:p w14:paraId="0E775DB9">
      <w:pPr>
        <w:pStyle w:val="2"/>
        <w:spacing w:before="219" w:line="219" w:lineRule="auto"/>
        <w:ind w:left="9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地图绘制技术的突破</w:t>
      </w:r>
      <w:r>
        <w:rPr>
          <w:spacing w:val="3"/>
        </w:rPr>
        <w:t xml:space="preserve">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道路规划理念的革新</w:t>
      </w:r>
    </w:p>
    <w:p w14:paraId="09DA9879">
      <w:pPr>
        <w:pStyle w:val="2"/>
        <w:spacing w:before="97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  </w:t>
      </w:r>
      <w:r>
        <w:rPr>
          <w:spacing w:val="1"/>
        </w:rPr>
        <w:t xml:space="preserve">    </w:t>
      </w:r>
      <w:r>
        <w:rPr>
          <w:spacing w:val="-6"/>
        </w:rPr>
        <w:t>第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7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15</w:t>
      </w:r>
      <w:r>
        <w:rPr>
          <w:spacing w:val="-6"/>
        </w:rPr>
        <w:t>页</w:t>
      </w:r>
    </w:p>
    <w:p w14:paraId="0BC575B4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705313B9">
      <w:pPr>
        <w:spacing w:line="244" w:lineRule="auto"/>
        <w:rPr>
          <w:rFonts w:ascii="Arial"/>
          <w:sz w:val="21"/>
        </w:rPr>
      </w:pPr>
    </w:p>
    <w:p w14:paraId="73AE77C9">
      <w:pPr>
        <w:spacing w:line="245" w:lineRule="auto"/>
        <w:rPr>
          <w:rFonts w:ascii="Arial"/>
          <w:sz w:val="21"/>
        </w:rPr>
      </w:pPr>
    </w:p>
    <w:p w14:paraId="2CF4DFD5">
      <w:pPr>
        <w:spacing w:line="375" w:lineRule="exact"/>
        <w:ind w:firstLine="1321"/>
      </w:pPr>
    </w:p>
    <w:p w14:paraId="2CA85F84">
      <w:pPr>
        <w:pStyle w:val="2"/>
        <w:spacing w:before="183" w:line="411" w:lineRule="auto"/>
        <w:ind w:right="8765"/>
      </w:pPr>
      <w:r>
        <w:pict>
          <v:rect id="_x0000_s1027" o:spid="_x0000_s1027" o:spt="1" style="position:absolute;left:0pt;margin-left:351.05pt;margin-top:10.15pt;height:0.75pt;width:0.75pt;z-index:251666432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 xml:space="preserve">B </w:t>
      </w:r>
      <w:r>
        <w:rPr>
          <w:color w:val="2E75B6"/>
        </w:rPr>
        <w:t>【解析】</w:t>
      </w:r>
    </w:p>
    <w:p w14:paraId="7371DA30">
      <w:pPr>
        <w:pStyle w:val="2"/>
        <w:spacing w:before="1" w:line="411" w:lineRule="auto"/>
        <w:ind w:left="12" w:right="85" w:hanging="13"/>
      </w:pPr>
      <w:r>
        <w:t>【详解】A.题干中土地产权登记、工程建设等需求，本质是城市化进程中城市管理与建设的现实需要，而</w:t>
      </w:r>
      <w:r>
        <w:rPr>
          <w:spacing w:val="-1"/>
        </w:rPr>
        <w:t>非治理模式的转型，错误。</w:t>
      </w:r>
    </w:p>
    <w:p w14:paraId="161B2204">
      <w:pPr>
        <w:pStyle w:val="2"/>
        <w:spacing w:before="1" w:line="411" w:lineRule="auto"/>
        <w:ind w:left="9" w:right="33" w:hanging="4"/>
      </w:pPr>
      <w:r>
        <w:t>B.19</w:t>
      </w:r>
      <w:r>
        <w:rPr>
          <w:spacing w:val="-44"/>
        </w:rPr>
        <w:t xml:space="preserve"> </w:t>
      </w:r>
      <w:r>
        <w:t>世纪中叶英国工业革命完成，城市化进程加快，城市规模迅速扩张。土</w:t>
      </w:r>
      <w:r>
        <w:rPr>
          <w:spacing w:val="-1"/>
        </w:rPr>
        <w:t>地产权登记、道路修建、大型</w:t>
      </w:r>
      <w:r>
        <w:t>排水工程等都是城市发展带来的刚需，传统小比例尺地图已无法满足精细化管理与</w:t>
      </w:r>
      <w:r>
        <w:rPr>
          <w:spacing w:val="-1"/>
        </w:rPr>
        <w:t>建设的需求，因此出现了关于大比例尺地图的争论，正确。</w:t>
      </w:r>
    </w:p>
    <w:p w14:paraId="4AC39DCF">
      <w:pPr>
        <w:pStyle w:val="2"/>
        <w:spacing w:line="218" w:lineRule="auto"/>
        <w:ind w:left="8"/>
      </w:pPr>
      <w:r>
        <w:t>C.地图绘制技术的突破是结果而非原因，争论的核心是需求而非</w:t>
      </w:r>
      <w:r>
        <w:rPr>
          <w:spacing w:val="-1"/>
        </w:rPr>
        <w:t>技术本身，错误。</w:t>
      </w:r>
    </w:p>
    <w:p w14:paraId="5A63AD99">
      <w:pPr>
        <w:pStyle w:val="2"/>
        <w:spacing w:before="219" w:line="316" w:lineRule="auto"/>
        <w:ind w:left="12" w:right="326" w:hanging="7"/>
      </w:pPr>
      <w:r>
        <w:rPr>
          <w:spacing w:val="-1"/>
        </w:rPr>
        <w:t>D.道路规划只是大比例尺地图的应用场景之一，无法涵盖土地产权登记、排水工程等其他需求，错误。</w:t>
      </w: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017AFCB1">
      <w:pPr>
        <w:pStyle w:val="2"/>
        <w:spacing w:before="219" w:line="347" w:lineRule="auto"/>
        <w:ind w:left="11" w:firstLine="14"/>
      </w:pPr>
      <w:r>
        <w:rPr>
          <w:rFonts w:ascii="Times New Roman" w:hAnsi="Times New Roman" w:eastAsia="Times New Roman" w:cs="Times New Roman"/>
          <w:spacing w:val="-2"/>
        </w:rPr>
        <w:t>15.</w:t>
      </w:r>
      <w:r>
        <w:rPr>
          <w:rFonts w:ascii="Times New Roman" w:hAnsi="Times New Roman" w:eastAsia="Times New Roman" w:cs="Times New Roman"/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1920 </w:t>
      </w:r>
      <w:r>
        <w:rPr>
          <w:spacing w:val="-2"/>
        </w:rPr>
        <w:t>年，国际联盟成立，其行政院常任理事国为英、法、</w:t>
      </w:r>
      <w:r>
        <w:rPr>
          <w:spacing w:val="-3"/>
        </w:rPr>
        <w:t>美、日、意。由于美国最终未参加国联，实际</w:t>
      </w:r>
      <w:r>
        <w:t>上只有四个常任理事国。</w:t>
      </w:r>
      <w:r>
        <w:rPr>
          <w:rFonts w:ascii="Times New Roman" w:hAnsi="Times New Roman" w:eastAsia="Times New Roman" w:cs="Times New Roman"/>
        </w:rPr>
        <w:t xml:space="preserve">1945 </w:t>
      </w:r>
      <w:r>
        <w:t>年，联合国成立，其安理会常任理事国为美、苏、</w:t>
      </w:r>
      <w:r>
        <w:rPr>
          <w:spacing w:val="-1"/>
        </w:rPr>
        <w:t>英、法、中。这一变化说</w:t>
      </w:r>
      <w:r>
        <w:rPr>
          <w:spacing w:val="-19"/>
        </w:rPr>
        <w:t>明</w:t>
      </w:r>
      <w:r>
        <w:rPr>
          <w:spacing w:val="15"/>
        </w:rPr>
        <w:t xml:space="preserve"> </w:t>
      </w:r>
      <w:r>
        <w:rPr>
          <w:spacing w:val="-19"/>
        </w:rPr>
        <w:t>(</w:t>
      </w:r>
      <w:r>
        <w:rPr>
          <w:spacing w:val="20"/>
        </w:rPr>
        <w:t xml:space="preserve">   </w:t>
      </w:r>
      <w:r>
        <w:rPr>
          <w:spacing w:val="-19"/>
        </w:rPr>
        <w:t>)</w:t>
      </w:r>
    </w:p>
    <w:p w14:paraId="2471396A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世界多极化趋势明显</w:t>
      </w:r>
      <w:r>
        <w:rPr>
          <w:spacing w:val="2"/>
        </w:rPr>
        <w:t xml:space="preserve">  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大国协</w:t>
      </w:r>
      <w:r>
        <w:rPr>
          <w:spacing w:val="-1"/>
        </w:rPr>
        <w:t>商机制日臻完善</w:t>
      </w:r>
    </w:p>
    <w:p w14:paraId="7B136C0C">
      <w:pPr>
        <w:pStyle w:val="2"/>
        <w:spacing w:before="220" w:line="411" w:lineRule="auto"/>
        <w:ind w:right="246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欧洲中心格局被打破      </w:t>
      </w:r>
      <w:r>
        <w:rPr>
          <w:spacing w:val="-2"/>
        </w:rPr>
        <w:t xml:space="preserve">    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14"/>
          <w:w w:val="101"/>
        </w:rPr>
        <w:t xml:space="preserve">  </w:t>
      </w:r>
      <w:r>
        <w:rPr>
          <w:spacing w:val="-2"/>
        </w:rPr>
        <w:t>国际安全得到有效保障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7B0A1A2A">
      <w:pPr>
        <w:pStyle w:val="2"/>
        <w:spacing w:line="220" w:lineRule="auto"/>
      </w:pPr>
      <w:r>
        <w:rPr>
          <w:color w:val="2E75B6"/>
        </w:rPr>
        <w:t>【解析】</w:t>
      </w:r>
    </w:p>
    <w:p w14:paraId="7FA2352E">
      <w:pPr>
        <w:pStyle w:val="2"/>
        <w:spacing w:before="218" w:line="219" w:lineRule="auto"/>
      </w:pPr>
      <w:r>
        <w:t>【详解】A.世界多极化趋势出现于</w:t>
      </w:r>
      <w:r>
        <w:rPr>
          <w:spacing w:val="-42"/>
        </w:rPr>
        <w:t xml:space="preserve"> </w:t>
      </w:r>
      <w:r>
        <w:t>20</w:t>
      </w:r>
      <w:r>
        <w:rPr>
          <w:spacing w:val="-44"/>
        </w:rPr>
        <w:t xml:space="preserve"> </w:t>
      </w:r>
      <w:r>
        <w:t>世</w:t>
      </w:r>
      <w:r>
        <w:rPr>
          <w:spacing w:val="-1"/>
        </w:rPr>
        <w:t>纪六七十年代，1945</w:t>
      </w:r>
      <w:r>
        <w:rPr>
          <w:spacing w:val="-43"/>
        </w:rPr>
        <w:t xml:space="preserve"> </w:t>
      </w:r>
      <w:r>
        <w:rPr>
          <w:spacing w:val="-1"/>
        </w:rPr>
        <w:t>年尚未出现明显的多极化趋势，错误。</w:t>
      </w:r>
    </w:p>
    <w:p w14:paraId="3F840DE4">
      <w:pPr>
        <w:pStyle w:val="2"/>
        <w:spacing w:before="218" w:line="219" w:lineRule="auto"/>
        <w:ind w:left="5"/>
      </w:pPr>
      <w:r>
        <w:rPr>
          <w:spacing w:val="-2"/>
        </w:rPr>
        <w:t>B.材料仅体现了常任理事国组成的变化，无法说明大国协商机制“</w:t>
      </w:r>
      <w:r>
        <w:rPr>
          <w:spacing w:val="-60"/>
        </w:rPr>
        <w:t xml:space="preserve"> </w:t>
      </w:r>
      <w:r>
        <w:rPr>
          <w:spacing w:val="-2"/>
        </w:rPr>
        <w:t>日臻完善</w:t>
      </w:r>
      <w:r>
        <w:rPr>
          <w:spacing w:val="-77"/>
        </w:rPr>
        <w:t xml:space="preserve"> </w:t>
      </w:r>
      <w:r>
        <w:rPr>
          <w:spacing w:val="-2"/>
        </w:rPr>
        <w:t>”，错误。</w:t>
      </w:r>
    </w:p>
    <w:p w14:paraId="71A92EE8">
      <w:pPr>
        <w:pStyle w:val="2"/>
        <w:spacing w:before="221" w:line="315" w:lineRule="auto"/>
        <w:ind w:left="29" w:right="116" w:hanging="21"/>
      </w:pPr>
      <w:r>
        <w:rPr>
          <w:spacing w:val="-1"/>
        </w:rPr>
        <w:t>C.国际联盟的常任理事国以欧洲国家为主，体现了欧洲中心格局；联合国安理会常任理事国包含美、苏、中，打破了欧洲国家主导国际事务的局面，说明欧洲中心格局被打破，正确。</w:t>
      </w:r>
    </w:p>
    <w:p w14:paraId="443F62CD">
      <w:pPr>
        <w:pStyle w:val="2"/>
        <w:spacing w:before="219" w:line="219" w:lineRule="auto"/>
        <w:ind w:left="5"/>
      </w:pPr>
      <w:r>
        <w:rPr>
          <w:spacing w:val="-1"/>
        </w:rPr>
        <w:t>D.联合国成立后，国际安全并未得到“有效保障</w:t>
      </w:r>
      <w:r>
        <w:rPr>
          <w:spacing w:val="-73"/>
        </w:rPr>
        <w:t xml:space="preserve"> </w:t>
      </w:r>
      <w:r>
        <w:rPr>
          <w:spacing w:val="-1"/>
        </w:rPr>
        <w:t>”，冷战等冲突仍长期存在，错误。</w:t>
      </w:r>
    </w:p>
    <w:p w14:paraId="37549215">
      <w:pPr>
        <w:pStyle w:val="2"/>
        <w:spacing w:before="218" w:line="220" w:lineRule="auto"/>
        <w:ind w:left="13"/>
      </w:pP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4193921E">
      <w:pPr>
        <w:pStyle w:val="2"/>
        <w:spacing w:before="219" w:line="411" w:lineRule="auto"/>
        <w:ind w:left="10" w:firstLine="15"/>
      </w:pPr>
      <w:r>
        <w:rPr>
          <w:rFonts w:ascii="Times New Roman" w:hAnsi="Times New Roman" w:eastAsia="Times New Roman" w:cs="Times New Roman"/>
          <w:spacing w:val="-2"/>
        </w:rPr>
        <w:t>16.</w:t>
      </w:r>
      <w:r>
        <w:rPr>
          <w:rFonts w:ascii="Times New Roman" w:hAnsi="Times New Roman" w:eastAsia="Times New Roman" w:cs="Times New Roman"/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1973 </w:t>
      </w:r>
      <w:r>
        <w:rPr>
          <w:spacing w:val="-2"/>
        </w:rPr>
        <w:t>年，有学者出版《如何解读唐老鸭：迪士尼卡通中的</w:t>
      </w:r>
      <w:r>
        <w:rPr>
          <w:spacing w:val="-3"/>
        </w:rPr>
        <w:t>帝国主义意识形态》一书（唐老鸭是美国迪士</w:t>
      </w:r>
      <w:r>
        <w:rPr>
          <w:spacing w:val="-5"/>
        </w:rPr>
        <w:t>尼卡通中的经典形象）。该书在拉美地区先后发行了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11 </w:t>
      </w:r>
      <w:r>
        <w:rPr>
          <w:spacing w:val="-5"/>
        </w:rPr>
        <w:t>种版本。这表明 (</w:t>
      </w:r>
      <w:r>
        <w:rPr>
          <w:spacing w:val="20"/>
        </w:rPr>
        <w:t xml:space="preserve">   </w:t>
      </w:r>
      <w:r>
        <w:rPr>
          <w:spacing w:val="-5"/>
        </w:rPr>
        <w:t>)</w:t>
      </w:r>
    </w:p>
    <w:p w14:paraId="55F048CA">
      <w:pPr>
        <w:pStyle w:val="2"/>
        <w:spacing w:before="1" w:line="218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美国全球霸权战略失败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全</w:t>
      </w:r>
      <w:r>
        <w:rPr>
          <w:spacing w:val="-1"/>
        </w:rPr>
        <w:t>球化进程的发展</w:t>
      </w:r>
    </w:p>
    <w:p w14:paraId="31C08DB8">
      <w:pPr>
        <w:pStyle w:val="2"/>
        <w:spacing w:before="220" w:line="411" w:lineRule="auto"/>
        <w:ind w:right="288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拉美文化自主意识增强</w:t>
      </w:r>
      <w:r>
        <w:rPr>
          <w:spacing w:val="3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世界殖民体系瓦解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59182762">
      <w:pPr>
        <w:pStyle w:val="2"/>
        <w:spacing w:line="220" w:lineRule="auto"/>
      </w:pPr>
      <w:r>
        <w:rPr>
          <w:color w:val="2E75B6"/>
        </w:rPr>
        <w:t>【解析】</w:t>
      </w:r>
    </w:p>
    <w:p w14:paraId="333BC2C2">
      <w:pPr>
        <w:pStyle w:val="2"/>
        <w:spacing w:before="217" w:line="219" w:lineRule="auto"/>
      </w:pPr>
      <w:r>
        <w:t>【详解】A.题干仅体现拉美地区对美国文化霸权的批判，无法反映美国全球霸权战略的失败，错误。</w:t>
      </w:r>
    </w:p>
    <w:p w14:paraId="031FE01D">
      <w:pPr>
        <w:pStyle w:val="2"/>
        <w:spacing w:before="98" w:line="219" w:lineRule="auto"/>
        <w:ind w:left="4170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85090</wp:posOffset>
            </wp:positionV>
            <wp:extent cx="9525" cy="9525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8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15</w:t>
      </w:r>
      <w:r>
        <w:rPr>
          <w:spacing w:val="-6"/>
        </w:rPr>
        <w:t>页</w:t>
      </w:r>
    </w:p>
    <w:p w14:paraId="5AC2773A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44F3B05C">
      <w:pPr>
        <w:spacing w:line="244" w:lineRule="auto"/>
        <w:rPr>
          <w:rFonts w:ascii="Arial"/>
          <w:sz w:val="21"/>
        </w:rPr>
      </w:pPr>
    </w:p>
    <w:p w14:paraId="34C115D2">
      <w:pPr>
        <w:spacing w:line="245" w:lineRule="auto"/>
        <w:rPr>
          <w:rFonts w:ascii="Arial"/>
          <w:sz w:val="21"/>
        </w:rPr>
      </w:pPr>
    </w:p>
    <w:p w14:paraId="6B4DAD87">
      <w:pPr>
        <w:spacing w:line="375" w:lineRule="exact"/>
        <w:ind w:firstLine="1321"/>
      </w:pPr>
    </w:p>
    <w:p w14:paraId="6E518F74">
      <w:pPr>
        <w:pStyle w:val="2"/>
        <w:spacing w:before="182" w:line="219" w:lineRule="auto"/>
        <w:ind w:left="5"/>
      </w:pPr>
      <w:r>
        <w:t>B.材料核心是拉美地区对美国文化帝国主义的批判，与全球化进程的发展无直接关</w:t>
      </w:r>
      <w:r>
        <w:rPr>
          <w:spacing w:val="-1"/>
        </w:rPr>
        <w:t>联，错误。</w:t>
      </w:r>
    </w:p>
    <w:p w14:paraId="15EB0714">
      <w:pPr>
        <w:pStyle w:val="2"/>
        <w:spacing w:before="218" w:line="316" w:lineRule="auto"/>
        <w:ind w:left="10" w:right="164" w:hanging="2"/>
      </w:pPr>
      <w:r>
        <w:t>C.该书揭露迪士尼卡通中的帝国主义意识形态，且在拉美地区发行多种版本，反映出拉</w:t>
      </w:r>
      <w:r>
        <w:rPr>
          <w:spacing w:val="-1"/>
        </w:rPr>
        <w:t>美地区对美国文化渗透的警惕与批判，体现了拉美文化自主意识的增强，正确。</w:t>
      </w:r>
    </w:p>
    <w:p w14:paraId="3F84C7F5">
      <w:pPr>
        <w:pStyle w:val="2"/>
        <w:spacing w:before="217" w:line="219" w:lineRule="auto"/>
        <w:ind w:left="5"/>
      </w:pPr>
      <w:r>
        <w:t>D.1990</w:t>
      </w:r>
      <w:r>
        <w:rPr>
          <w:spacing w:val="-43"/>
        </w:rPr>
        <w:t xml:space="preserve"> </w:t>
      </w:r>
      <w:r>
        <w:t>年纳米比亚独立标志世界殖民体系最终瓦解，与</w:t>
      </w:r>
      <w:r>
        <w:rPr>
          <w:spacing w:val="-1"/>
        </w:rPr>
        <w:t>题干时间、内容均不匹配，错误。</w:t>
      </w:r>
    </w:p>
    <w:p w14:paraId="3880CF8C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50A0BFC4">
      <w:pPr>
        <w:pStyle w:val="2"/>
        <w:spacing w:before="154" w:line="219" w:lineRule="auto"/>
        <w:ind w:left="14"/>
        <w:rPr>
          <w:sz w:val="24"/>
          <w:szCs w:val="24"/>
        </w:rPr>
      </w:pPr>
      <w:r>
        <w:rPr>
          <w:spacing w:val="-1"/>
          <w:sz w:val="24"/>
          <w:szCs w:val="24"/>
        </w:rPr>
        <w:t>二、非选择题：本题共</w:t>
      </w:r>
      <w:r>
        <w:rPr>
          <w:spacing w:val="-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3 </w:t>
      </w:r>
      <w:r>
        <w:rPr>
          <w:spacing w:val="-1"/>
          <w:sz w:val="24"/>
          <w:szCs w:val="24"/>
        </w:rPr>
        <w:t>小题，共</w:t>
      </w:r>
      <w:r>
        <w:rPr>
          <w:spacing w:val="-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52 </w:t>
      </w:r>
      <w:r>
        <w:rPr>
          <w:spacing w:val="-1"/>
          <w:sz w:val="24"/>
          <w:szCs w:val="24"/>
        </w:rPr>
        <w:t>分。</w:t>
      </w:r>
    </w:p>
    <w:p w14:paraId="2BBE6703">
      <w:pPr>
        <w:pStyle w:val="2"/>
        <w:spacing w:before="150" w:line="219" w:lineRule="auto"/>
        <w:ind w:left="26"/>
      </w:pPr>
      <w:r>
        <w:rPr>
          <w:rFonts w:ascii="Times New Roman" w:hAnsi="Times New Roman" w:eastAsia="Times New Roman" w:cs="Times New Roman"/>
          <w:spacing w:val="-4"/>
        </w:rPr>
        <w:t>17.</w:t>
      </w:r>
      <w:r>
        <w:rPr>
          <w:rFonts w:ascii="Times New Roman" w:hAnsi="Times New Roman" w:eastAsia="Times New Roman" w:cs="Times New Roman"/>
          <w:spacing w:val="17"/>
        </w:rPr>
        <w:t xml:space="preserve">  </w:t>
      </w:r>
      <w:r>
        <w:rPr>
          <w:spacing w:val="-4"/>
        </w:rPr>
        <w:t>阅读材料，完成下列要求。</w:t>
      </w:r>
    </w:p>
    <w:p w14:paraId="15237F4D">
      <w:pPr>
        <w:spacing w:before="219" w:line="411" w:lineRule="auto"/>
        <w:ind w:left="9" w:firstLine="420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材料一  北魏孝文帝迁都洛阳之初，大臣高闾认为中原已经基本平定，引用《诗经》“惠此中国，以绥</w:t>
      </w:r>
      <w:r>
        <w:rPr>
          <w:rFonts w:ascii="楷体" w:hAnsi="楷体" w:eastAsia="楷体" w:cs="楷体"/>
          <w:spacing w:val="-2"/>
          <w:sz w:val="21"/>
          <w:szCs w:val="21"/>
        </w:rPr>
        <w:t>四方</w:t>
      </w:r>
      <w:r>
        <w:rPr>
          <w:rFonts w:ascii="楷体" w:hAnsi="楷体" w:eastAsia="楷体" w:cs="楷体"/>
          <w:spacing w:val="-6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”之句，劝说孝文帝于此时举行封禅盛典，使君王圣德广布，百姓归附。孝文帝以南北尚未统一为由，</w:t>
      </w:r>
      <w:r>
        <w:rPr>
          <w:rFonts w:ascii="楷体" w:hAnsi="楷体" w:eastAsia="楷体" w:cs="楷体"/>
          <w:spacing w:val="-1"/>
          <w:sz w:val="21"/>
          <w:szCs w:val="21"/>
        </w:rPr>
        <w:t>拒绝了其封禅之请。</w:t>
      </w:r>
    </w:p>
    <w:p w14:paraId="0A964407">
      <w:pPr>
        <w:spacing w:before="1" w:line="227" w:lineRule="auto"/>
        <w:ind w:left="7225"/>
        <w:rPr>
          <w:rFonts w:ascii="楷体" w:hAnsi="楷体" w:eastAsia="楷体" w:cs="楷体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——</w:t>
      </w:r>
      <w:r>
        <w:rPr>
          <w:rFonts w:ascii="楷体" w:hAnsi="楷体" w:eastAsia="楷体" w:cs="楷体"/>
          <w:sz w:val="21"/>
          <w:szCs w:val="21"/>
        </w:rPr>
        <w:t>改编自《魏书》卷五四</w:t>
      </w:r>
    </w:p>
    <w:p w14:paraId="7FE79A8E">
      <w:pPr>
        <w:spacing w:before="210" w:line="411" w:lineRule="auto"/>
        <w:ind w:left="23" w:right="125" w:firstLine="40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材料二  韩德让是辽朝重要的汉人官员。据《韩德让墓志》记载，他曾在辽圣宗（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982~</w:t>
      </w:r>
      <w:r>
        <w:rPr>
          <w:rFonts w:ascii="Times New Roman" w:hAnsi="Times New Roman" w:eastAsia="Times New Roman" w:cs="Times New Roman"/>
          <w:spacing w:val="-28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103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1 </w:t>
      </w:r>
      <w:r>
        <w:rPr>
          <w:rFonts w:ascii="楷体" w:hAnsi="楷体" w:eastAsia="楷体" w:cs="楷体"/>
          <w:spacing w:val="-2"/>
          <w:sz w:val="21"/>
          <w:szCs w:val="21"/>
        </w:rPr>
        <w:t>年在位）</w:t>
      </w:r>
      <w:r>
        <w:rPr>
          <w:rFonts w:ascii="楷体" w:hAnsi="楷体" w:eastAsia="楷体" w:cs="楷体"/>
          <w:spacing w:val="-3"/>
          <w:sz w:val="21"/>
          <w:szCs w:val="21"/>
        </w:rPr>
        <w:t>时期被授予“洛京（洛阳）留守</w:t>
      </w:r>
      <w:r>
        <w:rPr>
          <w:rFonts w:ascii="楷体" w:hAnsi="楷体" w:eastAsia="楷体" w:cs="楷体"/>
          <w:spacing w:val="-7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”之职。</w:t>
      </w:r>
    </w:p>
    <w:p w14:paraId="51B06F49">
      <w:pPr>
        <w:spacing w:before="2" w:line="220" w:lineRule="auto"/>
        <w:ind w:left="44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注：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947 </w:t>
      </w:r>
      <w:r>
        <w:rPr>
          <w:rFonts w:ascii="楷体" w:hAnsi="楷体" w:eastAsia="楷体" w:cs="楷体"/>
          <w:sz w:val="21"/>
          <w:szCs w:val="21"/>
        </w:rPr>
        <w:t>年，辽灭后晋，曾占领包括洛阳在内的中</w:t>
      </w:r>
      <w:r>
        <w:rPr>
          <w:rFonts w:ascii="楷体" w:hAnsi="楷体" w:eastAsia="楷体" w:cs="楷体"/>
          <w:spacing w:val="-1"/>
          <w:sz w:val="21"/>
          <w:szCs w:val="21"/>
        </w:rPr>
        <w:t>原地区，不到一年便失去了对该地区的控制。</w:t>
      </w:r>
    </w:p>
    <w:p w14:paraId="148448E8">
      <w:pPr>
        <w:spacing w:before="217" w:line="224" w:lineRule="auto"/>
        <w:ind w:left="4705"/>
        <w:rPr>
          <w:rFonts w:ascii="楷体" w:hAnsi="楷体" w:eastAsia="楷体" w:cs="楷体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——</w:t>
      </w:r>
      <w:r>
        <w:rPr>
          <w:rFonts w:ascii="楷体" w:hAnsi="楷体" w:eastAsia="楷体" w:cs="楷体"/>
          <w:sz w:val="21"/>
          <w:szCs w:val="21"/>
        </w:rPr>
        <w:t>改编自万雄飞、司伟伟《辽朝韩德让墓志考释》等</w:t>
      </w:r>
    </w:p>
    <w:p w14:paraId="5503BB9E">
      <w:pPr>
        <w:spacing w:before="213" w:line="220" w:lineRule="auto"/>
        <w:ind w:left="42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材料三  党项首领元昊创制的西夏文，字形方整，和汉字的八分书相似，而笔</w:t>
      </w:r>
      <w:r>
        <w:rPr>
          <w:rFonts w:ascii="楷体" w:hAnsi="楷体" w:eastAsia="楷体" w:cs="楷体"/>
          <w:spacing w:val="-1"/>
          <w:sz w:val="21"/>
          <w:szCs w:val="21"/>
        </w:rPr>
        <w:t>画颇为繁复。他让国中</w:t>
      </w:r>
    </w:p>
    <w:p w14:paraId="4CC33F90">
      <w:pPr>
        <w:spacing w:before="218" w:line="220" w:lineRule="auto"/>
        <w:ind w:left="1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之人用西夏文来纪事，将《孝经》《尔雅》等儒家典籍译成西夏文。</w:t>
      </w:r>
    </w:p>
    <w:p w14:paraId="4F537224">
      <w:pPr>
        <w:spacing w:before="217" w:line="227" w:lineRule="auto"/>
        <w:ind w:left="7015"/>
        <w:rPr>
          <w:rFonts w:ascii="楷体" w:hAnsi="楷体" w:eastAsia="楷体" w:cs="楷体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——</w:t>
      </w:r>
      <w:r>
        <w:rPr>
          <w:rFonts w:ascii="楷体" w:hAnsi="楷体" w:eastAsia="楷体" w:cs="楷体"/>
          <w:sz w:val="21"/>
          <w:szCs w:val="21"/>
        </w:rPr>
        <w:t>改编自《宋史》卷四八五</w:t>
      </w:r>
    </w:p>
    <w:p w14:paraId="393705E4">
      <w:pPr>
        <w:pStyle w:val="2"/>
        <w:spacing w:before="206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）综合上述三则材料，可以用来研究哪些历史主题？</w:t>
      </w:r>
    </w:p>
    <w:p w14:paraId="049DA52C">
      <w:pPr>
        <w:pStyle w:val="2"/>
        <w:spacing w:before="214" w:line="318" w:lineRule="auto"/>
        <w:ind w:left="10" w:right="164" w:firstLine="4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2</w:t>
      </w:r>
      <w:r>
        <w:rPr>
          <w:spacing w:val="-2"/>
        </w:rPr>
        <w:t>）根据材料并结合所学知识，选择以上任一</w:t>
      </w:r>
      <w:r>
        <w:rPr>
          <w:spacing w:val="-3"/>
        </w:rPr>
        <w:t>历史主题，展开论述。（要求：主题明确，史论结合，逻辑</w:t>
      </w:r>
      <w:r>
        <w:rPr>
          <w:spacing w:val="-2"/>
        </w:rPr>
        <w:t>严密，表述清晰）</w:t>
      </w:r>
    </w:p>
    <w:p w14:paraId="0B28DD27">
      <w:pPr>
        <w:pStyle w:val="2"/>
        <w:spacing w:before="213" w:line="223" w:lineRule="auto"/>
      </w:pPr>
      <w:r>
        <w:rPr>
          <w:color w:val="2E75B6"/>
          <w:spacing w:val="-2"/>
        </w:rPr>
        <w:t>【答案】</w:t>
      </w: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spacing w:val="-2"/>
        </w:rPr>
        <w:t>）历史主题：民族融合、文化交流</w:t>
      </w:r>
      <w:r>
        <w:rPr>
          <w:spacing w:val="-3"/>
        </w:rPr>
        <w:t>与传播、边疆治理、少数民族政权的汉化改革。</w:t>
      </w:r>
    </w:p>
    <w:p w14:paraId="4916CC46">
      <w:pPr>
        <w:pStyle w:val="2"/>
        <w:spacing w:before="214" w:line="225" w:lineRule="auto"/>
        <w:ind w:left="15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2</w:t>
      </w:r>
      <w:r>
        <w:rPr>
          <w:spacing w:val="-2"/>
        </w:rPr>
        <w:t>）选择：民族融合主题</w:t>
      </w:r>
    </w:p>
    <w:p w14:paraId="05F2BA20">
      <w:pPr>
        <w:pStyle w:val="2"/>
        <w:spacing w:before="217" w:line="219" w:lineRule="auto"/>
        <w:ind w:left="9"/>
      </w:pPr>
      <w:r>
        <w:t>观点：魏晋南北朝至辽宋夏时期，各民族之间的交流与融合不断加强，推</w:t>
      </w:r>
      <w:r>
        <w:rPr>
          <w:spacing w:val="-1"/>
        </w:rPr>
        <w:t>动了中华民族的发展。</w:t>
      </w:r>
    </w:p>
    <w:p w14:paraId="313A3334">
      <w:pPr>
        <w:pStyle w:val="2"/>
        <w:spacing w:before="217" w:line="408" w:lineRule="auto"/>
        <w:ind w:left="10" w:right="164"/>
        <w:jc w:val="both"/>
      </w:pPr>
      <w:r>
        <w:t>论证：北魏孝文帝迁都洛阳，推行一系列汉化改革措施，如穿汉服、说汉语、改</w:t>
      </w:r>
      <w:r>
        <w:rPr>
          <w:spacing w:val="-1"/>
        </w:rPr>
        <w:t>汉姓等，加强了鲜卑族与</w:t>
      </w:r>
      <w:r>
        <w:t>汉族的融合；辽朝重用汉人官员，采用汉制，促进了契丹族与汉族的交流；西夏</w:t>
      </w:r>
      <w:r>
        <w:rPr>
          <w:spacing w:val="-1"/>
        </w:rPr>
        <w:t>翻译儒家典籍，推动了党</w:t>
      </w:r>
      <w:r>
        <w:t>项族与汉族的文化融合。各民族之间的经济交流日益频繁，北魏时期，汉族的农</w:t>
      </w:r>
      <w:r>
        <w:rPr>
          <w:spacing w:val="-1"/>
        </w:rPr>
        <w:t>耕技术传入鲜卑族地区，</w:t>
      </w:r>
      <w:r>
        <w:t>促进了鲜卑族的经济发展；辽朝时期，契丹族的游牧经济与汉族的农耕经济相互</w:t>
      </w:r>
      <w:r>
        <w:rPr>
          <w:spacing w:val="-1"/>
        </w:rPr>
        <w:t>补充，推动了边疆地区的</w:t>
      </w:r>
      <w:r>
        <w:t>开发；西夏时期，党项族与汉族之间的贸易往来不断增加，促进了双方的经济繁</w:t>
      </w:r>
      <w:r>
        <w:rPr>
          <w:spacing w:val="-1"/>
        </w:rPr>
        <w:t>荣。各民族之间的文化交</w:t>
      </w:r>
      <w:r>
        <w:t>流不断深入，北魏孝文帝迁都洛阳后，鲜卑族逐渐接受了汉族的文化传统，如儒</w:t>
      </w:r>
      <w:r>
        <w:rPr>
          <w:spacing w:val="-1"/>
        </w:rPr>
        <w:t>家思想、礼仪制度等；辽</w:t>
      </w:r>
    </w:p>
    <w:p w14:paraId="76A8FA14">
      <w:pPr>
        <w:pStyle w:val="2"/>
        <w:spacing w:line="219" w:lineRule="auto"/>
        <w:ind w:left="4170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22860</wp:posOffset>
            </wp:positionV>
            <wp:extent cx="9525" cy="9525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9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15</w:t>
      </w:r>
      <w:r>
        <w:rPr>
          <w:spacing w:val="-6"/>
        </w:rPr>
        <w:t>页</w:t>
      </w:r>
    </w:p>
    <w:p w14:paraId="303D68D0">
      <w:pPr>
        <w:spacing w:line="219" w:lineRule="auto"/>
        <w:sectPr>
          <w:pgSz w:w="11900" w:h="16839"/>
          <w:pgMar w:top="400" w:right="994" w:bottom="0" w:left="1078" w:header="0" w:footer="0" w:gutter="0"/>
          <w:cols w:space="720" w:num="1"/>
        </w:sectPr>
      </w:pPr>
    </w:p>
    <w:p w14:paraId="43ADAB1D">
      <w:pPr>
        <w:spacing w:line="244" w:lineRule="auto"/>
        <w:rPr>
          <w:rFonts w:ascii="Arial"/>
          <w:sz w:val="21"/>
        </w:rPr>
      </w:pPr>
    </w:p>
    <w:p w14:paraId="443520CC">
      <w:pPr>
        <w:spacing w:line="245" w:lineRule="auto"/>
        <w:rPr>
          <w:rFonts w:ascii="Arial"/>
          <w:sz w:val="21"/>
        </w:rPr>
      </w:pPr>
    </w:p>
    <w:p w14:paraId="349D5473">
      <w:pPr>
        <w:spacing w:line="375" w:lineRule="exact"/>
        <w:ind w:firstLine="1321"/>
      </w:pPr>
    </w:p>
    <w:p w14:paraId="2341B51B">
      <w:pPr>
        <w:pStyle w:val="2"/>
        <w:spacing w:before="183" w:line="411" w:lineRule="auto"/>
        <w:ind w:left="10" w:right="132" w:hanging="1"/>
      </w:pPr>
      <w:r>
        <w:rPr>
          <w:spacing w:val="-1"/>
        </w:rPr>
        <w:t>朝时期，契丹族学习汉族的文化艺术，如诗词、绘画等；西夏时期，党项族创制西</w:t>
      </w:r>
      <w:r>
        <w:rPr>
          <w:spacing w:val="-2"/>
        </w:rPr>
        <w:t>夏文，翻译儒家典籍，</w:t>
      </w:r>
      <w:r>
        <w:rPr>
          <w:spacing w:val="-1"/>
        </w:rPr>
        <w:t>促进了汉文化与西夏文化的融合。</w:t>
      </w:r>
    </w:p>
    <w:p w14:paraId="794D6CD2">
      <w:pPr>
        <w:pStyle w:val="2"/>
        <w:spacing w:before="1" w:line="411" w:lineRule="auto"/>
        <w:ind w:left="9" w:right="85" w:firstLine="5"/>
      </w:pPr>
      <w:r>
        <w:t>结论：各民族在政治、经济、文化等方面的交流与融合，不仅促进了各</w:t>
      </w:r>
      <w:r>
        <w:rPr>
          <w:spacing w:val="-1"/>
        </w:rPr>
        <w:t>民族自身的发展，也推动了中华民</w:t>
      </w:r>
      <w:r>
        <w:rPr>
          <w:spacing w:val="-2"/>
        </w:rPr>
        <w:t>族的整体发展。</w:t>
      </w:r>
    </w:p>
    <w:p w14:paraId="41D4E2A2">
      <w:pPr>
        <w:pStyle w:val="2"/>
        <w:spacing w:line="220" w:lineRule="auto"/>
      </w:pPr>
      <w:r>
        <w:rPr>
          <w:color w:val="2E75B6"/>
        </w:rPr>
        <w:t>【解析】</w:t>
      </w:r>
    </w:p>
    <w:p w14:paraId="43C558C3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32B24375">
      <w:pPr>
        <w:pStyle w:val="2"/>
        <w:spacing w:before="222" w:line="410" w:lineRule="auto"/>
        <w:ind w:left="11" w:right="85"/>
      </w:pPr>
      <w:r>
        <w:t>历史主题：本小问要求概括材料中的历史主题。需要根据材料，通过分层次、</w:t>
      </w:r>
      <w:r>
        <w:rPr>
          <w:spacing w:val="-1"/>
        </w:rPr>
        <w:t>勾画关键词等方式，全面、</w:t>
      </w:r>
      <w:r>
        <w:t>准确的概括。根据材料可从各民族之间的交流与融合、不同文化之间的交流与传</w:t>
      </w:r>
      <w:r>
        <w:rPr>
          <w:spacing w:val="-1"/>
        </w:rPr>
        <w:t>播、古代王朝对边疆地区的治理、少数民族政权的汉化改革等方面说明。</w:t>
      </w:r>
    </w:p>
    <w:p w14:paraId="0777D7F5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4D6B3A19">
      <w:pPr>
        <w:pStyle w:val="2"/>
        <w:spacing w:before="223" w:line="411" w:lineRule="auto"/>
        <w:ind w:left="15" w:right="85" w:hanging="5"/>
      </w:pPr>
      <w:r>
        <w:t>本题为开放性试题，要求在阅读材料的基础上，任选角度，说明观点，并结合所</w:t>
      </w:r>
      <w:r>
        <w:rPr>
          <w:spacing w:val="-1"/>
        </w:rPr>
        <w:t>学知识进行论证，可以按</w:t>
      </w:r>
      <w:r>
        <w:rPr>
          <w:spacing w:val="-2"/>
        </w:rPr>
        <w:t>照以下步骤分析作答：</w:t>
      </w:r>
    </w:p>
    <w:p w14:paraId="0A940F4D">
      <w:pPr>
        <w:pStyle w:val="2"/>
        <w:spacing w:before="2" w:line="411" w:lineRule="auto"/>
        <w:ind w:left="10" w:right="85" w:hanging="1"/>
      </w:pPr>
      <w:r>
        <w:t>第一步：若选择民族融合主题，根据材料可知，北魏孝文帝迁都洛阳、辽朝占领中</w:t>
      </w:r>
      <w:r>
        <w:rPr>
          <w:spacing w:val="-1"/>
        </w:rPr>
        <w:t>原地区、西夏创制西夏</w:t>
      </w:r>
      <w:r>
        <w:t>文并翻译儒家典籍，都体现了各民族之间的交流与融合，因此可以得出观点：魏</w:t>
      </w:r>
      <w:r>
        <w:rPr>
          <w:spacing w:val="-1"/>
        </w:rPr>
        <w:t>晋南北朝至辽宋夏时期，各民族之间的交流与融合不断加强，推动了中华民族的发展。</w:t>
      </w:r>
    </w:p>
    <w:p w14:paraId="38E0A4E2">
      <w:pPr>
        <w:pStyle w:val="2"/>
        <w:spacing w:before="2" w:line="411" w:lineRule="auto"/>
        <w:ind w:left="9"/>
      </w:pPr>
      <w:r>
        <w:t>第二步：对提出的观点进行论证，注意史实准确、史论结合、论证充分、表达清晰</w:t>
      </w:r>
      <w:r>
        <w:rPr>
          <w:spacing w:val="-1"/>
        </w:rPr>
        <w:t>。关于论证可从政治方</w:t>
      </w:r>
      <w:r>
        <w:rPr>
          <w:spacing w:val="-3"/>
        </w:rPr>
        <w:t>面（北魏孝文帝改革、辽朝采用汉制）、经济方面（汉族的农耕技术传入鲜卑族地区、游牧经济与汉族的农耕经济相互补充、党项族与汉族之间的贸易往来）、文化方面（鲜卑族逐渐接受了汉族的文化传统、契丹族</w:t>
      </w:r>
      <w:r>
        <w:t>学习汉族的文化艺术、汉文化与西夏文化的融</w:t>
      </w:r>
      <w:r>
        <w:rPr>
          <w:spacing w:val="-1"/>
        </w:rPr>
        <w:t>合）等角度进行分析。</w:t>
      </w:r>
    </w:p>
    <w:p w14:paraId="53926471">
      <w:pPr>
        <w:pStyle w:val="2"/>
        <w:spacing w:before="1" w:line="411" w:lineRule="auto"/>
        <w:ind w:left="9" w:right="85"/>
      </w:pPr>
      <w:r>
        <w:t>第三步：在充分论证的基础上，进行一定的总结提升。魏晋南北朝至辽宋夏时期，</w:t>
      </w:r>
      <w:r>
        <w:rPr>
          <w:spacing w:val="-1"/>
        </w:rPr>
        <w:t>各民族之间的交流与融</w:t>
      </w:r>
      <w:r>
        <w:t>合是一个相互影响、相互促进的过程。各民族在政治、经济、文化等方面的交流与融</w:t>
      </w:r>
      <w:r>
        <w:rPr>
          <w:spacing w:val="-1"/>
        </w:rPr>
        <w:t>合，不仅促进了各民</w:t>
      </w:r>
      <w:r>
        <w:t>族自身的发展，也推动了中华民族的整体发展。这一时期的民族融合为统一多民族国</w:t>
      </w:r>
      <w:r>
        <w:rPr>
          <w:spacing w:val="-1"/>
        </w:rPr>
        <w:t>家的形成和发展奠定</w:t>
      </w:r>
      <w:r>
        <w:rPr>
          <w:spacing w:val="-2"/>
        </w:rPr>
        <w:t>了坚实的基础。</w:t>
      </w:r>
    </w:p>
    <w:p w14:paraId="294D44A6">
      <w:pPr>
        <w:pStyle w:val="2"/>
        <w:spacing w:before="1" w:line="218" w:lineRule="auto"/>
        <w:ind w:left="26"/>
      </w:pPr>
      <w:r>
        <w:rPr>
          <w:rFonts w:ascii="Times New Roman" w:hAnsi="Times New Roman" w:eastAsia="Times New Roman" w:cs="Times New Roman"/>
          <w:spacing w:val="-4"/>
        </w:rPr>
        <w:t>18.</w:t>
      </w:r>
      <w:r>
        <w:rPr>
          <w:rFonts w:ascii="Times New Roman" w:hAnsi="Times New Roman" w:eastAsia="Times New Roman" w:cs="Times New Roman"/>
          <w:spacing w:val="17"/>
        </w:rPr>
        <w:t xml:space="preserve">  </w:t>
      </w:r>
      <w:r>
        <w:rPr>
          <w:spacing w:val="-4"/>
        </w:rPr>
        <w:t>阅读材料，完成下列要求。</w:t>
      </w:r>
    </w:p>
    <w:p w14:paraId="7C59259F">
      <w:pPr>
        <w:spacing w:before="221" w:line="411" w:lineRule="auto"/>
        <w:ind w:left="13" w:right="33" w:firstLine="41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 xml:space="preserve">材料  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1990 </w:t>
      </w:r>
      <w:r>
        <w:rPr>
          <w:rFonts w:ascii="楷体" w:hAnsi="楷体" w:eastAsia="楷体" w:cs="楷体"/>
          <w:sz w:val="21"/>
          <w:szCs w:val="21"/>
        </w:rPr>
        <w:t>年，山东省组织了十余个县（市）对改革开放以来的农村改革进行</w:t>
      </w:r>
      <w:r>
        <w:rPr>
          <w:rFonts w:ascii="楷体" w:hAnsi="楷体" w:eastAsia="楷体" w:cs="楷体"/>
          <w:spacing w:val="-1"/>
          <w:sz w:val="21"/>
          <w:szCs w:val="21"/>
        </w:rPr>
        <w:t>了经验总结。下面为各县（市）经验总结标题的汇总。</w:t>
      </w:r>
    </w:p>
    <w:p w14:paraId="7EF45D3A">
      <w:pPr>
        <w:spacing w:line="223" w:lineRule="auto"/>
        <w:ind w:left="43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商品经济大合唱的决策与初步实践（诸城市）</w:t>
      </w:r>
    </w:p>
    <w:p w14:paraId="487D2D0F">
      <w:pPr>
        <w:spacing w:before="214" w:line="220" w:lineRule="auto"/>
        <w:ind w:left="42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加强乡镇政权建设，推进综合体制改革（莱芜市）</w:t>
      </w:r>
    </w:p>
    <w:p w14:paraId="6A42AB70">
      <w:pPr>
        <w:spacing w:before="218" w:line="220" w:lineRule="auto"/>
        <w:ind w:left="43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强化村级组织，保证工作到户（莱西县）</w:t>
      </w:r>
    </w:p>
    <w:p w14:paraId="2E7A31F3">
      <w:pPr>
        <w:spacing w:before="218" w:line="222" w:lineRule="auto"/>
        <w:ind w:left="43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组织发展村级经济是深化农村改革的重大任务（牟平县）</w:t>
      </w:r>
    </w:p>
    <w:p w14:paraId="472885CA">
      <w:pPr>
        <w:pStyle w:val="2"/>
        <w:spacing w:before="93" w:line="219" w:lineRule="auto"/>
        <w:ind w:left="4118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82550</wp:posOffset>
            </wp:positionV>
            <wp:extent cx="9525" cy="9525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10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</w:p>
    <w:p w14:paraId="4B70130A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3DD5740E">
      <w:pPr>
        <w:spacing w:line="244" w:lineRule="auto"/>
        <w:rPr>
          <w:rFonts w:ascii="Arial"/>
          <w:sz w:val="21"/>
        </w:rPr>
      </w:pPr>
    </w:p>
    <w:p w14:paraId="2A19BFDA">
      <w:pPr>
        <w:spacing w:line="245" w:lineRule="auto"/>
        <w:rPr>
          <w:rFonts w:ascii="Arial"/>
          <w:sz w:val="21"/>
        </w:rPr>
      </w:pPr>
    </w:p>
    <w:p w14:paraId="258F81A8">
      <w:pPr>
        <w:spacing w:line="375" w:lineRule="exact"/>
        <w:ind w:firstLine="1440"/>
      </w:pPr>
    </w:p>
    <w:p w14:paraId="26858341">
      <w:pPr>
        <w:spacing w:before="183" w:line="220" w:lineRule="auto"/>
        <w:ind w:left="553"/>
        <w:rPr>
          <w:rFonts w:ascii="楷体" w:hAnsi="楷体" w:eastAsia="楷体" w:cs="楷体"/>
          <w:sz w:val="21"/>
          <w:szCs w:val="21"/>
        </w:rPr>
      </w:pPr>
      <w:r>
        <w:pict>
          <v:rect id="_x0000_s1028" o:spid="_x0000_s1028" o:spt="1" style="position:absolute;left:0pt;margin-left:357pt;margin-top:10.1pt;height:0.75pt;width:0.75pt;z-index:251669504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rFonts w:ascii="楷体" w:hAnsi="楷体" w:eastAsia="楷体" w:cs="楷体"/>
          <w:spacing w:val="-1"/>
          <w:sz w:val="21"/>
          <w:szCs w:val="21"/>
        </w:rPr>
        <w:t>继往开来，坚持不懈（五莲县）</w:t>
      </w:r>
    </w:p>
    <w:p w14:paraId="3C45A0CA">
      <w:pPr>
        <w:spacing w:before="217" w:line="220" w:lineRule="auto"/>
        <w:ind w:left="56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改革流通体制，组建农村商品经济运行新机制（招远县）</w:t>
      </w:r>
    </w:p>
    <w:p w14:paraId="3DEE2C75">
      <w:pPr>
        <w:spacing w:before="217" w:line="220" w:lineRule="auto"/>
        <w:ind w:left="54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培育市场，繁荣经济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——</w:t>
      </w:r>
      <w:r>
        <w:rPr>
          <w:rFonts w:ascii="楷体" w:hAnsi="楷体" w:eastAsia="楷体" w:cs="楷体"/>
          <w:spacing w:val="-1"/>
          <w:sz w:val="21"/>
          <w:szCs w:val="21"/>
        </w:rPr>
        <w:t>寿光县农村改革回顾（寿光县）</w:t>
      </w:r>
    </w:p>
    <w:p w14:paraId="1E463CC5">
      <w:pPr>
        <w:spacing w:before="217" w:line="224" w:lineRule="auto"/>
        <w:ind w:left="54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繁荣经济的立体舞台</w:t>
      </w:r>
      <w:r>
        <w:rPr>
          <w:rFonts w:ascii="Times New Roman" w:hAnsi="Times New Roman" w:eastAsia="Times New Roman" w:cs="Times New Roman"/>
          <w:sz w:val="21"/>
          <w:szCs w:val="21"/>
        </w:rPr>
        <w:t>——</w:t>
      </w:r>
      <w:r>
        <w:rPr>
          <w:rFonts w:ascii="楷体" w:hAnsi="楷体" w:eastAsia="楷体" w:cs="楷体"/>
          <w:sz w:val="21"/>
          <w:szCs w:val="21"/>
        </w:rPr>
        <w:t>即墨服装专业批发市场的</w:t>
      </w:r>
      <w:r>
        <w:rPr>
          <w:rFonts w:ascii="楷体" w:hAnsi="楷体" w:eastAsia="楷体" w:cs="楷体"/>
          <w:spacing w:val="-1"/>
          <w:sz w:val="21"/>
          <w:szCs w:val="21"/>
        </w:rPr>
        <w:t>兴起与发展（即墨县）</w:t>
      </w:r>
    </w:p>
    <w:p w14:paraId="74EF4703">
      <w:pPr>
        <w:spacing w:before="214" w:line="220" w:lineRule="auto"/>
        <w:ind w:left="54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创办农村合作基金会，巩固壮大集体经济（滕州市）</w:t>
      </w:r>
    </w:p>
    <w:p w14:paraId="277A862A">
      <w:pPr>
        <w:spacing w:before="217" w:line="224" w:lineRule="auto"/>
        <w:ind w:left="54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科技兴农的有益探索（禹城县）</w:t>
      </w:r>
    </w:p>
    <w:p w14:paraId="27B9E3C4">
      <w:pPr>
        <w:spacing w:before="214" w:line="220" w:lineRule="auto"/>
        <w:ind w:left="54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抓热点，办实事（郯城县）</w:t>
      </w:r>
    </w:p>
    <w:p w14:paraId="0DBE466B">
      <w:pPr>
        <w:spacing w:before="217" w:line="225" w:lineRule="auto"/>
        <w:ind w:left="54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政务公开的实践与思考（昌乐县）</w:t>
      </w:r>
    </w:p>
    <w:p w14:paraId="683FD977">
      <w:pPr>
        <w:spacing w:before="212" w:line="222" w:lineRule="auto"/>
        <w:ind w:left="5244"/>
        <w:rPr>
          <w:rFonts w:ascii="楷体" w:hAnsi="楷体" w:eastAsia="楷体" w:cs="楷体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——</w:t>
      </w:r>
      <w:r>
        <w:rPr>
          <w:rFonts w:ascii="楷体" w:hAnsi="楷体" w:eastAsia="楷体" w:cs="楷体"/>
          <w:sz w:val="21"/>
          <w:szCs w:val="21"/>
        </w:rPr>
        <w:t>据高昌礼主编《县级改革的理论与实践》整理</w:t>
      </w:r>
    </w:p>
    <w:p w14:paraId="6350FB31">
      <w:pPr>
        <w:pStyle w:val="2"/>
        <w:spacing w:before="211" w:line="223" w:lineRule="auto"/>
        <w:ind w:left="133"/>
      </w:pP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）根据材料并结合所学知识，概括这一历</w:t>
      </w:r>
      <w:r>
        <w:rPr>
          <w:spacing w:val="-1"/>
        </w:rPr>
        <w:t>史时期山东农村改革举措的特点。</w:t>
      </w:r>
    </w:p>
    <w:p w14:paraId="2ABC4402">
      <w:pPr>
        <w:pStyle w:val="2"/>
        <w:spacing w:before="214" w:line="223" w:lineRule="auto"/>
        <w:jc w:val="right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）根据材料并结合所学知识，从改革参与者的角度分析这一历史时</w:t>
      </w:r>
      <w:r>
        <w:rPr>
          <w:spacing w:val="-2"/>
        </w:rPr>
        <w:t>期山东农村改革取得显著成效的原因。</w:t>
      </w:r>
    </w:p>
    <w:p w14:paraId="565FAE3A">
      <w:pPr>
        <w:pStyle w:val="2"/>
        <w:spacing w:before="215" w:line="223" w:lineRule="auto"/>
        <w:ind w:left="13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）根据材料并结合所学知识，谈谈这一历史时期农村改革的影响。</w:t>
      </w:r>
    </w:p>
    <w:p w14:paraId="589D351C">
      <w:pPr>
        <w:pStyle w:val="2"/>
        <w:spacing w:before="216" w:line="411" w:lineRule="auto"/>
        <w:ind w:left="127" w:right="179" w:hanging="9"/>
        <w:jc w:val="both"/>
      </w:pPr>
      <w:r>
        <w:rPr>
          <w:color w:val="2E75B6"/>
        </w:rPr>
        <w:t>【答案】</w:t>
      </w: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）特点：聚焦商品经济发展，注重市场培育与流通</w:t>
      </w:r>
      <w:r>
        <w:rPr>
          <w:spacing w:val="-1"/>
        </w:rPr>
        <w:t>体制改革；强化基层政权、村级组织建设，</w:t>
      </w:r>
      <w:r>
        <w:rPr>
          <w:spacing w:val="2"/>
        </w:rPr>
        <w:t>推进基层治理完善；创新经营形式，积极发展农村集体经济；注重科</w:t>
      </w:r>
      <w:r>
        <w:rPr>
          <w:spacing w:val="1"/>
        </w:rPr>
        <w:t>技兴农，依靠科技助力农村发展；改</w:t>
      </w:r>
      <w:r>
        <w:rPr>
          <w:spacing w:val="-1"/>
        </w:rPr>
        <w:t>革覆盖面广，各地因地制宜开展多元探索。</w:t>
      </w:r>
    </w:p>
    <w:p w14:paraId="496B7094">
      <w:pPr>
        <w:pStyle w:val="2"/>
        <w:spacing w:line="317" w:lineRule="auto"/>
        <w:ind w:left="129" w:right="209" w:firstLine="4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）原因：地方政府主动担当，统筹规划并大力推行改革；基层组</w:t>
      </w:r>
      <w:r>
        <w:rPr>
          <w:spacing w:val="-2"/>
        </w:rPr>
        <w:t>织体系完善，有效保障改革举措落地；</w:t>
      </w:r>
      <w:r>
        <w:t>顺应农民发展需求，充分调动农民参与改革的积极性；多元市场主体广泛参与，</w:t>
      </w:r>
      <w:r>
        <w:rPr>
          <w:spacing w:val="-1"/>
        </w:rPr>
        <w:t>丰富农村经济发展形态。</w:t>
      </w:r>
    </w:p>
    <w:p w14:paraId="3406B90E">
      <w:pPr>
        <w:pStyle w:val="2"/>
        <w:spacing w:before="215" w:line="317" w:lineRule="auto"/>
        <w:ind w:left="130" w:right="85" w:firstLine="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）影响：解放农村生产力，推动农村经济繁荣，加快农业发展；健全农村基层治理体系，促进基层治理走向规范；拓宽农民增收途径，改善农村民生状况；积累改革实践经验，为全国农村改革提供示范与参考。</w:t>
      </w:r>
    </w:p>
    <w:p w14:paraId="539538B4">
      <w:pPr>
        <w:pStyle w:val="2"/>
        <w:spacing w:before="219" w:line="220" w:lineRule="auto"/>
        <w:ind w:left="118"/>
      </w:pPr>
      <w:r>
        <w:rPr>
          <w:color w:val="2E75B6"/>
        </w:rPr>
        <w:t>【解析】</w:t>
      </w:r>
    </w:p>
    <w:p w14:paraId="7281A86D">
      <w:pPr>
        <w:pStyle w:val="2"/>
        <w:spacing w:before="213" w:line="220" w:lineRule="auto"/>
        <w:ind w:left="118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473C1279">
      <w:pPr>
        <w:pStyle w:val="2"/>
        <w:spacing w:before="222" w:line="219" w:lineRule="auto"/>
        <w:ind w:left="128"/>
      </w:pPr>
      <w:r>
        <w:t>特点：本小问从经济发展、基层治理、体制机制、发展理念、改革范围角度归</w:t>
      </w:r>
      <w:r>
        <w:rPr>
          <w:spacing w:val="-1"/>
        </w:rPr>
        <w:t>纳。解题思路如下表：</w:t>
      </w:r>
    </w:p>
    <w:p w14:paraId="4EC18805">
      <w:pPr>
        <w:spacing w:line="83" w:lineRule="exact"/>
      </w:pPr>
    </w:p>
    <w:tbl>
      <w:tblPr>
        <w:tblStyle w:val="6"/>
        <w:tblW w:w="800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3"/>
        <w:gridCol w:w="2964"/>
        <w:gridCol w:w="2792"/>
      </w:tblGrid>
      <w:tr w14:paraId="777AA1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253" w:type="dxa"/>
            <w:vAlign w:val="top"/>
          </w:tcPr>
          <w:p w14:paraId="6750479D">
            <w:pPr>
              <w:pStyle w:val="7"/>
              <w:spacing w:before="211" w:line="219" w:lineRule="auto"/>
              <w:ind w:left="113"/>
            </w:pPr>
            <w:r>
              <w:rPr>
                <w:spacing w:val="-2"/>
              </w:rPr>
              <w:t>材料关键信息</w:t>
            </w:r>
          </w:p>
        </w:tc>
        <w:tc>
          <w:tcPr>
            <w:tcW w:w="2964" w:type="dxa"/>
            <w:vAlign w:val="top"/>
          </w:tcPr>
          <w:p w14:paraId="127EC088">
            <w:pPr>
              <w:pStyle w:val="7"/>
              <w:spacing w:before="211" w:line="220" w:lineRule="auto"/>
              <w:ind w:left="110"/>
            </w:pPr>
            <w:r>
              <w:rPr>
                <w:spacing w:val="-3"/>
              </w:rPr>
              <w:t>推理过程</w:t>
            </w:r>
          </w:p>
        </w:tc>
        <w:tc>
          <w:tcPr>
            <w:tcW w:w="2792" w:type="dxa"/>
            <w:vAlign w:val="top"/>
          </w:tcPr>
          <w:p w14:paraId="386DCA7C">
            <w:pPr>
              <w:pStyle w:val="7"/>
              <w:spacing w:before="211" w:line="219" w:lineRule="auto"/>
              <w:ind w:left="116"/>
            </w:pPr>
            <w:r>
              <w:rPr>
                <w:spacing w:val="-5"/>
              </w:rPr>
              <w:t>特点</w:t>
            </w:r>
          </w:p>
        </w:tc>
      </w:tr>
      <w:tr w14:paraId="405585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atLeast"/>
        </w:trPr>
        <w:tc>
          <w:tcPr>
            <w:tcW w:w="2253" w:type="dxa"/>
            <w:vAlign w:val="top"/>
          </w:tcPr>
          <w:p w14:paraId="5578715F">
            <w:pPr>
              <w:spacing w:line="373" w:lineRule="auto"/>
              <w:rPr>
                <w:rFonts w:ascii="Arial"/>
                <w:sz w:val="21"/>
              </w:rPr>
            </w:pPr>
          </w:p>
          <w:p w14:paraId="0C1419AB">
            <w:pPr>
              <w:pStyle w:val="7"/>
              <w:spacing w:before="68" w:line="413" w:lineRule="auto"/>
              <w:ind w:left="113" w:firstLine="9"/>
              <w:jc w:val="both"/>
            </w:pPr>
            <w:r>
              <w:rPr>
                <w:spacing w:val="-16"/>
              </w:rPr>
              <w:t>多地聚焦商品经济、流</w:t>
            </w:r>
            <w:r>
              <w:rPr>
                <w:spacing w:val="-17"/>
              </w:rPr>
              <w:t>通体制、专业批发市场、</w:t>
            </w:r>
            <w:r>
              <w:rPr>
                <w:spacing w:val="-7"/>
              </w:rPr>
              <w:t>培育市场等内容</w:t>
            </w:r>
          </w:p>
        </w:tc>
        <w:tc>
          <w:tcPr>
            <w:tcW w:w="2964" w:type="dxa"/>
            <w:vAlign w:val="top"/>
          </w:tcPr>
          <w:p w14:paraId="1FD6EB00">
            <w:pPr>
              <w:pStyle w:val="7"/>
              <w:spacing w:before="209" w:line="396" w:lineRule="auto"/>
              <w:ind w:left="110" w:right="116" w:firstLine="2"/>
              <w:jc w:val="both"/>
            </w:pPr>
            <w:r>
              <w:rPr>
                <w:spacing w:val="-1"/>
              </w:rPr>
              <w:t>大力发展商品经济，完善流通</w:t>
            </w:r>
            <w:r>
              <w:rPr>
                <w:spacing w:val="-4"/>
              </w:rPr>
              <w:t>环节，搭建交易平台→</w:t>
            </w:r>
            <w:r>
              <w:rPr>
                <w:spacing w:val="-63"/>
              </w:rPr>
              <w:t xml:space="preserve"> </w:t>
            </w:r>
            <w:r>
              <w:rPr>
                <w:spacing w:val="-4"/>
              </w:rPr>
              <w:t>以发展</w:t>
            </w:r>
            <w:r>
              <w:rPr>
                <w:spacing w:val="-1"/>
              </w:rPr>
              <w:t>商品经济为核心，重视市场与</w:t>
            </w:r>
            <w:r>
              <w:rPr>
                <w:spacing w:val="-2"/>
              </w:rPr>
              <w:t>流通体系建设</w:t>
            </w:r>
          </w:p>
        </w:tc>
        <w:tc>
          <w:tcPr>
            <w:tcW w:w="2792" w:type="dxa"/>
            <w:vAlign w:val="top"/>
          </w:tcPr>
          <w:p w14:paraId="42CCF540">
            <w:pPr>
              <w:spacing w:line="302" w:lineRule="auto"/>
              <w:rPr>
                <w:rFonts w:ascii="Arial"/>
                <w:sz w:val="21"/>
              </w:rPr>
            </w:pPr>
          </w:p>
          <w:p w14:paraId="370301FB">
            <w:pPr>
              <w:spacing w:line="303" w:lineRule="auto"/>
              <w:rPr>
                <w:rFonts w:ascii="Arial"/>
                <w:sz w:val="21"/>
              </w:rPr>
            </w:pPr>
          </w:p>
          <w:p w14:paraId="2C5FCDC6">
            <w:pPr>
              <w:pStyle w:val="7"/>
              <w:spacing w:before="68" w:line="414" w:lineRule="auto"/>
              <w:ind w:left="115" w:right="148" w:firstLine="9"/>
            </w:pPr>
            <w:r>
              <w:rPr>
                <w:spacing w:val="-2"/>
              </w:rPr>
              <w:t>聚焦商品经济发展，注重市</w:t>
            </w:r>
            <w:r>
              <w:rPr>
                <w:spacing w:val="-1"/>
              </w:rPr>
              <w:t>场培育与流通体制改革</w:t>
            </w:r>
          </w:p>
        </w:tc>
      </w:tr>
    </w:tbl>
    <w:p w14:paraId="71814D92">
      <w:pPr>
        <w:spacing w:line="249" w:lineRule="auto"/>
        <w:rPr>
          <w:rFonts w:ascii="Arial"/>
          <w:sz w:val="21"/>
        </w:rPr>
      </w:pPr>
    </w:p>
    <w:p w14:paraId="2F381107">
      <w:pPr>
        <w:spacing w:line="250" w:lineRule="auto"/>
        <w:rPr>
          <w:rFonts w:ascii="Arial"/>
          <w:sz w:val="21"/>
        </w:rPr>
      </w:pPr>
    </w:p>
    <w:p w14:paraId="0A3E8618">
      <w:pPr>
        <w:spacing w:line="250" w:lineRule="auto"/>
        <w:rPr>
          <w:rFonts w:ascii="Arial"/>
          <w:sz w:val="21"/>
        </w:rPr>
      </w:pPr>
    </w:p>
    <w:p w14:paraId="1E1EE7AF">
      <w:pPr>
        <w:spacing w:line="250" w:lineRule="auto"/>
        <w:rPr>
          <w:rFonts w:ascii="Arial"/>
          <w:sz w:val="21"/>
        </w:rPr>
      </w:pPr>
    </w:p>
    <w:p w14:paraId="41DC88D3">
      <w:pPr>
        <w:pStyle w:val="2"/>
        <w:spacing w:before="69" w:line="219" w:lineRule="auto"/>
        <w:ind w:left="4236"/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11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</w:p>
    <w:p w14:paraId="26E56B81">
      <w:pPr>
        <w:spacing w:line="219" w:lineRule="auto"/>
        <w:sectPr>
          <w:pgSz w:w="11900" w:h="16839"/>
          <w:pgMar w:top="400" w:right="893" w:bottom="0" w:left="960" w:header="0" w:footer="0" w:gutter="0"/>
          <w:cols w:space="720" w:num="1"/>
        </w:sectPr>
      </w:pPr>
    </w:p>
    <w:p w14:paraId="67B7235D">
      <w:pPr>
        <w:spacing w:line="244" w:lineRule="auto"/>
        <w:rPr>
          <w:rFonts w:ascii="Arial"/>
          <w:sz w:val="21"/>
        </w:rPr>
      </w:pPr>
    </w:p>
    <w:p w14:paraId="7A7A0774">
      <w:pPr>
        <w:spacing w:line="245" w:lineRule="auto"/>
        <w:rPr>
          <w:rFonts w:ascii="Arial"/>
          <w:sz w:val="21"/>
        </w:rPr>
      </w:pPr>
    </w:p>
    <w:p w14:paraId="582B2419">
      <w:pPr>
        <w:spacing w:line="375" w:lineRule="exact"/>
        <w:ind w:firstLine="1440"/>
      </w:pPr>
    </w:p>
    <w:p w14:paraId="3FFE8566">
      <w:pPr>
        <w:spacing w:line="52" w:lineRule="exact"/>
      </w:pPr>
    </w:p>
    <w:tbl>
      <w:tblPr>
        <w:tblStyle w:val="6"/>
        <w:tblW w:w="800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3"/>
        <w:gridCol w:w="2964"/>
        <w:gridCol w:w="2792"/>
      </w:tblGrid>
      <w:tr w14:paraId="1E5BD6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3" w:hRule="atLeast"/>
        </w:trPr>
        <w:tc>
          <w:tcPr>
            <w:tcW w:w="2253" w:type="dxa"/>
            <w:vAlign w:val="top"/>
          </w:tcPr>
          <w:p w14:paraId="7DCBBBB3">
            <w:pPr>
              <w:spacing w:line="369" w:lineRule="auto"/>
              <w:rPr>
                <w:rFonts w:ascii="Arial"/>
                <w:sz w:val="21"/>
              </w:rPr>
            </w:pPr>
          </w:p>
          <w:p w14:paraId="32AAEF9D">
            <w:pPr>
              <w:pStyle w:val="7"/>
              <w:spacing w:before="68" w:line="413" w:lineRule="auto"/>
              <w:ind w:left="114" w:right="111"/>
              <w:jc w:val="both"/>
            </w:pPr>
            <w:r>
              <w:rPr>
                <w:spacing w:val="-9"/>
              </w:rPr>
              <w:t>涉及乡镇政权、村级组织建设、政务公开等内</w:t>
            </w:r>
            <w:r>
              <w:t>容</w:t>
            </w:r>
          </w:p>
        </w:tc>
        <w:tc>
          <w:tcPr>
            <w:tcW w:w="2964" w:type="dxa"/>
            <w:vAlign w:val="top"/>
          </w:tcPr>
          <w:p w14:paraId="41E23309">
            <w:pPr>
              <w:pStyle w:val="7"/>
              <w:spacing w:before="205" w:line="395" w:lineRule="auto"/>
              <w:ind w:left="110" w:right="116" w:firstLine="3"/>
              <w:jc w:val="both"/>
            </w:pPr>
            <w:r>
              <w:rPr>
                <w:spacing w:val="-1"/>
              </w:rPr>
              <w:t>不断完善农村各级管理架构，规范基层行政运行→重视农村基层政权与组织建设，推进基</w:t>
            </w:r>
            <w:r>
              <w:rPr>
                <w:spacing w:val="-2"/>
              </w:rPr>
              <w:t>层治理变革</w:t>
            </w:r>
          </w:p>
        </w:tc>
        <w:tc>
          <w:tcPr>
            <w:tcW w:w="2792" w:type="dxa"/>
            <w:vAlign w:val="top"/>
          </w:tcPr>
          <w:p w14:paraId="6EE1CDCA">
            <w:pPr>
              <w:spacing w:line="301" w:lineRule="auto"/>
              <w:rPr>
                <w:rFonts w:ascii="Arial"/>
                <w:sz w:val="21"/>
              </w:rPr>
            </w:pPr>
            <w:r>
              <w:pict>
                <v:rect id="_x0000_s1029" o:spid="_x0000_s1029" o:spt="1" style="position:absolute;left:0pt;margin-left:95.8pt;margin-top:7.5pt;height:0.75pt;width:0.75pt;mso-position-horizontal-relative:page;mso-position-vertical-relative:page;z-index:251671552;mso-width-relative:page;mso-height-relative:page;" fillcolor="#211D0A" filled="t" stroked="f" coordsize="21600,21600">
                  <v:path/>
                  <v:fill on="t" opacity="27499f" focussize="0,0"/>
                  <v:stroke on="f"/>
                  <v:imagedata o:title=""/>
                  <o:lock v:ext="edit"/>
                </v:rect>
              </w:pict>
            </w:r>
          </w:p>
          <w:p w14:paraId="7301A212">
            <w:pPr>
              <w:spacing w:line="301" w:lineRule="auto"/>
              <w:rPr>
                <w:rFonts w:ascii="Arial"/>
                <w:sz w:val="21"/>
              </w:rPr>
            </w:pPr>
          </w:p>
          <w:p w14:paraId="47DD5E34">
            <w:pPr>
              <w:pStyle w:val="7"/>
              <w:spacing w:before="68" w:line="413" w:lineRule="auto"/>
              <w:ind w:left="119" w:right="148" w:firstLine="1"/>
            </w:pPr>
            <w:r>
              <w:rPr>
                <w:spacing w:val="-2"/>
              </w:rPr>
              <w:t>强化基层政权、村级组织建设，推进基层治理完善</w:t>
            </w:r>
          </w:p>
        </w:tc>
      </w:tr>
      <w:tr w14:paraId="4F64AC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</w:trPr>
        <w:tc>
          <w:tcPr>
            <w:tcW w:w="2253" w:type="dxa"/>
            <w:vAlign w:val="top"/>
          </w:tcPr>
          <w:p w14:paraId="313BC1C2">
            <w:pPr>
              <w:spacing w:line="377" w:lineRule="auto"/>
              <w:rPr>
                <w:rFonts w:ascii="Arial"/>
                <w:sz w:val="21"/>
              </w:rPr>
            </w:pPr>
          </w:p>
          <w:p w14:paraId="2834FDD5">
            <w:pPr>
              <w:pStyle w:val="7"/>
              <w:spacing w:before="68" w:line="219" w:lineRule="auto"/>
              <w:ind w:left="112"/>
            </w:pPr>
            <w:r>
              <w:rPr>
                <w:spacing w:val="-1"/>
              </w:rPr>
              <w:t>探索农村合作基金</w:t>
            </w:r>
          </w:p>
          <w:p w14:paraId="5C6F8FC4">
            <w:pPr>
              <w:pStyle w:val="7"/>
              <w:spacing w:before="218" w:line="219" w:lineRule="auto"/>
              <w:ind w:left="112"/>
            </w:pPr>
            <w:r>
              <w:rPr>
                <w:spacing w:val="-9"/>
              </w:rPr>
              <w:t>会、发展村级集体经济</w:t>
            </w:r>
          </w:p>
        </w:tc>
        <w:tc>
          <w:tcPr>
            <w:tcW w:w="2964" w:type="dxa"/>
            <w:vAlign w:val="top"/>
          </w:tcPr>
          <w:p w14:paraId="3E40899E">
            <w:pPr>
              <w:pStyle w:val="7"/>
              <w:spacing w:before="216" w:line="390" w:lineRule="auto"/>
              <w:ind w:left="111" w:right="116" w:hanging="1"/>
              <w:jc w:val="both"/>
            </w:pPr>
            <w:r>
              <w:rPr>
                <w:spacing w:val="-1"/>
              </w:rPr>
              <w:t>创新经济组织形式，壮大集体力量→创新经营模式，着力发</w:t>
            </w:r>
            <w:r>
              <w:rPr>
                <w:spacing w:val="-2"/>
              </w:rPr>
              <w:t>展壮大农村集体经济</w:t>
            </w:r>
          </w:p>
        </w:tc>
        <w:tc>
          <w:tcPr>
            <w:tcW w:w="2792" w:type="dxa"/>
            <w:vAlign w:val="top"/>
          </w:tcPr>
          <w:p w14:paraId="18EC2CFF">
            <w:pPr>
              <w:spacing w:line="378" w:lineRule="auto"/>
              <w:rPr>
                <w:rFonts w:ascii="Arial"/>
                <w:sz w:val="21"/>
              </w:rPr>
            </w:pPr>
          </w:p>
          <w:p w14:paraId="26982E7A">
            <w:pPr>
              <w:pStyle w:val="7"/>
              <w:spacing w:before="68" w:line="413" w:lineRule="auto"/>
              <w:ind w:left="116" w:right="148"/>
            </w:pPr>
            <w:r>
              <w:rPr>
                <w:spacing w:val="-1"/>
              </w:rPr>
              <w:t>创新经营形式，积极发展农</w:t>
            </w:r>
            <w:r>
              <w:rPr>
                <w:spacing w:val="-2"/>
              </w:rPr>
              <w:t>村集体经济</w:t>
            </w:r>
          </w:p>
        </w:tc>
      </w:tr>
      <w:tr w14:paraId="3821FC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</w:trPr>
        <w:tc>
          <w:tcPr>
            <w:tcW w:w="2253" w:type="dxa"/>
            <w:vAlign w:val="top"/>
          </w:tcPr>
          <w:p w14:paraId="4803FDC3">
            <w:pPr>
              <w:spacing w:line="374" w:lineRule="auto"/>
              <w:rPr>
                <w:rFonts w:ascii="Arial"/>
                <w:sz w:val="21"/>
              </w:rPr>
            </w:pPr>
          </w:p>
          <w:p w14:paraId="63C45017">
            <w:pPr>
              <w:pStyle w:val="7"/>
              <w:spacing w:before="69" w:line="414" w:lineRule="auto"/>
              <w:ind w:left="113" w:right="242" w:firstLine="18"/>
            </w:pPr>
            <w:r>
              <w:rPr>
                <w:spacing w:val="5"/>
              </w:rPr>
              <w:t>出现 “科技兴农</w:t>
            </w:r>
            <w:r>
              <w:rPr>
                <w:spacing w:val="-73"/>
              </w:rPr>
              <w:t xml:space="preserve"> </w:t>
            </w:r>
            <w:r>
              <w:rPr>
                <w:spacing w:val="5"/>
              </w:rPr>
              <w:t>”</w:t>
            </w:r>
            <w:r>
              <w:rPr>
                <w:spacing w:val="-3"/>
              </w:rPr>
              <w:t>相关探索</w:t>
            </w:r>
          </w:p>
        </w:tc>
        <w:tc>
          <w:tcPr>
            <w:tcW w:w="2964" w:type="dxa"/>
            <w:vAlign w:val="top"/>
          </w:tcPr>
          <w:p w14:paraId="31B19C73">
            <w:pPr>
              <w:pStyle w:val="7"/>
              <w:spacing w:before="212" w:line="391" w:lineRule="auto"/>
              <w:ind w:left="108" w:right="116"/>
              <w:jc w:val="both"/>
            </w:pPr>
            <w:r>
              <w:rPr>
                <w:spacing w:val="-1"/>
              </w:rPr>
              <w:t>将科学技术融入农业生产领域→重视科技赋能，推动农业现</w:t>
            </w:r>
            <w:r>
              <w:rPr>
                <w:spacing w:val="-2"/>
              </w:rPr>
              <w:t>代化发展</w:t>
            </w:r>
          </w:p>
        </w:tc>
        <w:tc>
          <w:tcPr>
            <w:tcW w:w="2792" w:type="dxa"/>
            <w:vAlign w:val="top"/>
          </w:tcPr>
          <w:p w14:paraId="010E11E1">
            <w:pPr>
              <w:spacing w:line="375" w:lineRule="auto"/>
              <w:rPr>
                <w:rFonts w:ascii="Arial"/>
                <w:sz w:val="21"/>
              </w:rPr>
            </w:pPr>
          </w:p>
          <w:p w14:paraId="22F1B455">
            <w:pPr>
              <w:pStyle w:val="7"/>
              <w:spacing w:before="68" w:line="413" w:lineRule="auto"/>
              <w:ind w:left="119" w:right="148" w:hanging="3"/>
            </w:pPr>
            <w:r>
              <w:rPr>
                <w:spacing w:val="-1"/>
              </w:rPr>
              <w:t>注重科技兴农，依靠科技助</w:t>
            </w:r>
            <w:r>
              <w:rPr>
                <w:spacing w:val="-3"/>
              </w:rPr>
              <w:t>力农村发展</w:t>
            </w:r>
          </w:p>
        </w:tc>
      </w:tr>
      <w:tr w14:paraId="252336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3" w:hRule="atLeast"/>
        </w:trPr>
        <w:tc>
          <w:tcPr>
            <w:tcW w:w="2253" w:type="dxa"/>
            <w:vAlign w:val="top"/>
          </w:tcPr>
          <w:p w14:paraId="50F88925">
            <w:pPr>
              <w:spacing w:line="372" w:lineRule="auto"/>
              <w:rPr>
                <w:rFonts w:ascii="Arial"/>
                <w:sz w:val="21"/>
              </w:rPr>
            </w:pPr>
          </w:p>
          <w:p w14:paraId="3BD79B68">
            <w:pPr>
              <w:pStyle w:val="7"/>
              <w:spacing w:before="68" w:line="413" w:lineRule="auto"/>
              <w:ind w:left="129" w:right="63" w:hanging="9"/>
              <w:jc w:val="both"/>
            </w:pPr>
            <w:r>
              <w:rPr>
                <w:spacing w:val="-5"/>
              </w:rPr>
              <w:t>改革涵盖经济、政治、</w:t>
            </w:r>
            <w:r>
              <w:rPr>
                <w:spacing w:val="-11"/>
              </w:rPr>
              <w:t>民生等多个领域，各县</w:t>
            </w:r>
            <w:r>
              <w:rPr>
                <w:spacing w:val="-4"/>
              </w:rPr>
              <w:t>因地制宜开展探索</w:t>
            </w:r>
          </w:p>
        </w:tc>
        <w:tc>
          <w:tcPr>
            <w:tcW w:w="2964" w:type="dxa"/>
            <w:vAlign w:val="top"/>
          </w:tcPr>
          <w:p w14:paraId="645FDC2D">
            <w:pPr>
              <w:pStyle w:val="7"/>
              <w:spacing w:before="210" w:line="394" w:lineRule="auto"/>
              <w:ind w:left="108" w:right="116" w:firstLine="9"/>
              <w:jc w:val="both"/>
            </w:pPr>
            <w:r>
              <w:rPr>
                <w:spacing w:val="-2"/>
              </w:rPr>
              <w:t>改革不再局限单一领域，各地</w:t>
            </w:r>
            <w:r>
              <w:rPr>
                <w:spacing w:val="-1"/>
              </w:rPr>
              <w:t>结合实际推进工作→改革领域广泛，各地因地制宜、全面推</w:t>
            </w:r>
            <w:r>
              <w:t>进</w:t>
            </w:r>
          </w:p>
        </w:tc>
        <w:tc>
          <w:tcPr>
            <w:tcW w:w="2792" w:type="dxa"/>
            <w:vAlign w:val="top"/>
          </w:tcPr>
          <w:p w14:paraId="6294EE70">
            <w:pPr>
              <w:spacing w:line="302" w:lineRule="auto"/>
              <w:rPr>
                <w:rFonts w:ascii="Arial"/>
                <w:sz w:val="21"/>
              </w:rPr>
            </w:pPr>
          </w:p>
          <w:p w14:paraId="10DA3644">
            <w:pPr>
              <w:spacing w:line="302" w:lineRule="auto"/>
              <w:rPr>
                <w:rFonts w:ascii="Arial"/>
                <w:sz w:val="21"/>
              </w:rPr>
            </w:pPr>
          </w:p>
          <w:p w14:paraId="4922ED56">
            <w:pPr>
              <w:pStyle w:val="7"/>
              <w:spacing w:before="68" w:line="414" w:lineRule="auto"/>
              <w:ind w:left="120" w:right="148" w:firstLine="3"/>
            </w:pPr>
            <w:r>
              <w:rPr>
                <w:spacing w:val="-2"/>
              </w:rPr>
              <w:t>改革覆盖面广，各地因地制宜开展多元探索</w:t>
            </w:r>
          </w:p>
        </w:tc>
      </w:tr>
    </w:tbl>
    <w:p w14:paraId="70AE29E6">
      <w:pPr>
        <w:pStyle w:val="2"/>
        <w:spacing w:before="137" w:line="220" w:lineRule="auto"/>
        <w:ind w:left="118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7C831B1C">
      <w:pPr>
        <w:pStyle w:val="2"/>
        <w:spacing w:before="221" w:line="219" w:lineRule="auto"/>
        <w:ind w:left="133"/>
      </w:pPr>
      <w:r>
        <w:t>原因：本小问从地方政府、基层组织、农民群体、经营</w:t>
      </w:r>
      <w:r>
        <w:rPr>
          <w:spacing w:val="-1"/>
        </w:rPr>
        <w:t>主体角度分析。解题思路如下表：</w:t>
      </w:r>
    </w:p>
    <w:p w14:paraId="2804BD11">
      <w:pPr>
        <w:spacing w:line="86" w:lineRule="exact"/>
      </w:pPr>
    </w:p>
    <w:tbl>
      <w:tblPr>
        <w:tblStyle w:val="6"/>
        <w:tblW w:w="802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3"/>
        <w:gridCol w:w="3009"/>
        <w:gridCol w:w="2762"/>
      </w:tblGrid>
      <w:tr w14:paraId="054828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253" w:type="dxa"/>
            <w:vAlign w:val="top"/>
          </w:tcPr>
          <w:p w14:paraId="5A7DFCC9">
            <w:pPr>
              <w:pStyle w:val="7"/>
              <w:spacing w:before="208" w:line="219" w:lineRule="auto"/>
              <w:ind w:left="113"/>
            </w:pPr>
            <w:r>
              <w:rPr>
                <w:spacing w:val="-2"/>
              </w:rPr>
              <w:t>材料关键信息</w:t>
            </w:r>
          </w:p>
        </w:tc>
        <w:tc>
          <w:tcPr>
            <w:tcW w:w="3009" w:type="dxa"/>
            <w:vAlign w:val="top"/>
          </w:tcPr>
          <w:p w14:paraId="51E594DA">
            <w:pPr>
              <w:pStyle w:val="7"/>
              <w:spacing w:before="208" w:line="220" w:lineRule="auto"/>
              <w:ind w:left="110"/>
            </w:pPr>
            <w:r>
              <w:rPr>
                <w:spacing w:val="-3"/>
              </w:rPr>
              <w:t>推理过程</w:t>
            </w:r>
          </w:p>
        </w:tc>
        <w:tc>
          <w:tcPr>
            <w:tcW w:w="2762" w:type="dxa"/>
            <w:vAlign w:val="top"/>
          </w:tcPr>
          <w:p w14:paraId="7BC31CDD">
            <w:pPr>
              <w:pStyle w:val="7"/>
              <w:spacing w:before="208" w:line="222" w:lineRule="auto"/>
              <w:ind w:left="121"/>
            </w:pPr>
            <w:r>
              <w:rPr>
                <w:spacing w:val="-7"/>
              </w:rPr>
              <w:t>原因</w:t>
            </w:r>
          </w:p>
        </w:tc>
      </w:tr>
      <w:tr w14:paraId="104235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9" w:hRule="atLeast"/>
        </w:trPr>
        <w:tc>
          <w:tcPr>
            <w:tcW w:w="2253" w:type="dxa"/>
            <w:vAlign w:val="top"/>
          </w:tcPr>
          <w:p w14:paraId="1712B0F4">
            <w:pPr>
              <w:spacing w:line="370" w:lineRule="auto"/>
              <w:rPr>
                <w:rFonts w:ascii="Arial"/>
                <w:sz w:val="21"/>
              </w:rPr>
            </w:pPr>
          </w:p>
          <w:p w14:paraId="770295B8">
            <w:pPr>
              <w:pStyle w:val="7"/>
              <w:spacing w:before="68" w:line="219" w:lineRule="auto"/>
              <w:ind w:left="115"/>
            </w:pPr>
            <w:r>
              <w:rPr>
                <w:spacing w:val="-2"/>
              </w:rPr>
              <w:t>各县市主动出台决</w:t>
            </w:r>
          </w:p>
          <w:p w14:paraId="045F899E">
            <w:pPr>
              <w:pStyle w:val="7"/>
              <w:spacing w:before="219" w:line="413" w:lineRule="auto"/>
              <w:ind w:left="117" w:right="111" w:hanging="3"/>
            </w:pPr>
            <w:r>
              <w:rPr>
                <w:spacing w:val="-9"/>
              </w:rPr>
              <w:t>策、推进体制改革，总</w:t>
            </w:r>
            <w:r>
              <w:rPr>
                <w:spacing w:val="-3"/>
              </w:rPr>
              <w:t>结改革经验</w:t>
            </w:r>
          </w:p>
        </w:tc>
        <w:tc>
          <w:tcPr>
            <w:tcW w:w="3009" w:type="dxa"/>
            <w:vAlign w:val="top"/>
          </w:tcPr>
          <w:p w14:paraId="032E8ADD">
            <w:pPr>
              <w:pStyle w:val="7"/>
              <w:spacing w:before="207" w:line="396" w:lineRule="auto"/>
              <w:ind w:left="109" w:right="161"/>
              <w:jc w:val="both"/>
            </w:pPr>
            <w:r>
              <w:rPr>
                <w:spacing w:val="-1"/>
              </w:rPr>
              <w:t>地方政府主动谋划、统筹推进改革，发挥引领作用→地方政府积极主导，科学规划并落实</w:t>
            </w:r>
            <w:r>
              <w:rPr>
                <w:spacing w:val="-2"/>
              </w:rPr>
              <w:t>改革举措</w:t>
            </w:r>
          </w:p>
        </w:tc>
        <w:tc>
          <w:tcPr>
            <w:tcW w:w="2762" w:type="dxa"/>
            <w:vAlign w:val="top"/>
          </w:tcPr>
          <w:p w14:paraId="1D593FD8">
            <w:pPr>
              <w:spacing w:line="300" w:lineRule="auto"/>
              <w:rPr>
                <w:rFonts w:ascii="Arial"/>
                <w:sz w:val="21"/>
              </w:rPr>
            </w:pPr>
          </w:p>
          <w:p w14:paraId="22428D54">
            <w:pPr>
              <w:spacing w:line="301" w:lineRule="auto"/>
              <w:rPr>
                <w:rFonts w:ascii="Arial"/>
                <w:sz w:val="21"/>
              </w:rPr>
            </w:pPr>
          </w:p>
          <w:p w14:paraId="66F7F4A4">
            <w:pPr>
              <w:pStyle w:val="7"/>
              <w:spacing w:before="68" w:line="414" w:lineRule="auto"/>
              <w:ind w:left="115" w:right="118"/>
            </w:pPr>
            <w:r>
              <w:rPr>
                <w:spacing w:val="-1"/>
              </w:rPr>
              <w:t>地方政府主动担当，统筹规划并大力推行改革</w:t>
            </w:r>
          </w:p>
        </w:tc>
      </w:tr>
      <w:tr w14:paraId="4CC512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6" w:hRule="atLeast"/>
        </w:trPr>
        <w:tc>
          <w:tcPr>
            <w:tcW w:w="2253" w:type="dxa"/>
            <w:vAlign w:val="top"/>
          </w:tcPr>
          <w:p w14:paraId="701ACC60">
            <w:pPr>
              <w:spacing w:line="373" w:lineRule="auto"/>
              <w:rPr>
                <w:rFonts w:ascii="Arial"/>
                <w:sz w:val="21"/>
              </w:rPr>
            </w:pPr>
          </w:p>
          <w:p w14:paraId="4129D466">
            <w:pPr>
              <w:pStyle w:val="7"/>
              <w:spacing w:before="68" w:line="413" w:lineRule="auto"/>
              <w:ind w:left="115" w:right="111" w:firstLine="2"/>
              <w:jc w:val="both"/>
            </w:pPr>
            <w:r>
              <w:rPr>
                <w:spacing w:val="-10"/>
              </w:rPr>
              <w:t>强化乡镇、村级组织建</w:t>
            </w:r>
            <w:r>
              <w:rPr>
                <w:spacing w:val="-9"/>
              </w:rPr>
              <w:t>设，依托基层组织落实</w:t>
            </w:r>
            <w:r>
              <w:rPr>
                <w:spacing w:val="-3"/>
              </w:rPr>
              <w:t>各项工作</w:t>
            </w:r>
          </w:p>
        </w:tc>
        <w:tc>
          <w:tcPr>
            <w:tcW w:w="3009" w:type="dxa"/>
            <w:vAlign w:val="top"/>
          </w:tcPr>
          <w:p w14:paraId="6BCB86D1">
            <w:pPr>
              <w:pStyle w:val="7"/>
              <w:spacing w:before="209" w:line="397" w:lineRule="auto"/>
              <w:ind w:left="110" w:right="161"/>
              <w:jc w:val="both"/>
            </w:pPr>
            <w:r>
              <w:rPr>
                <w:spacing w:val="-1"/>
              </w:rPr>
              <w:t>基层组织不断健全，成为改革落地的重要依托→农村基层组织执行力强，保障各项政策落</w:t>
            </w:r>
            <w:r>
              <w:rPr>
                <w:spacing w:val="-3"/>
              </w:rPr>
              <w:t>地实施</w:t>
            </w:r>
          </w:p>
        </w:tc>
        <w:tc>
          <w:tcPr>
            <w:tcW w:w="2762" w:type="dxa"/>
            <w:vAlign w:val="top"/>
          </w:tcPr>
          <w:p w14:paraId="363EAD8B">
            <w:pPr>
              <w:spacing w:line="302" w:lineRule="auto"/>
              <w:rPr>
                <w:rFonts w:ascii="Arial"/>
                <w:sz w:val="21"/>
              </w:rPr>
            </w:pPr>
          </w:p>
          <w:p w14:paraId="3BE934A6">
            <w:pPr>
              <w:spacing w:line="303" w:lineRule="auto"/>
              <w:rPr>
                <w:rFonts w:ascii="Arial"/>
                <w:sz w:val="21"/>
              </w:rPr>
            </w:pPr>
          </w:p>
          <w:p w14:paraId="498D43DB">
            <w:pPr>
              <w:pStyle w:val="7"/>
              <w:spacing w:before="69" w:line="413" w:lineRule="auto"/>
              <w:ind w:left="126" w:right="118" w:hanging="10"/>
            </w:pPr>
            <w:r>
              <w:rPr>
                <w:spacing w:val="-1"/>
              </w:rPr>
              <w:t>基层组织体系完善，有效保</w:t>
            </w:r>
            <w:r>
              <w:rPr>
                <w:spacing w:val="-3"/>
              </w:rPr>
              <w:t>障改革举措落地</w:t>
            </w:r>
          </w:p>
        </w:tc>
      </w:tr>
    </w:tbl>
    <w:p w14:paraId="29A2A970">
      <w:pPr>
        <w:spacing w:line="272" w:lineRule="auto"/>
        <w:rPr>
          <w:rFonts w:ascii="Arial"/>
          <w:sz w:val="21"/>
        </w:rPr>
      </w:pPr>
    </w:p>
    <w:p w14:paraId="669F479B">
      <w:pPr>
        <w:spacing w:line="272" w:lineRule="auto"/>
        <w:rPr>
          <w:rFonts w:ascii="Arial"/>
          <w:sz w:val="21"/>
        </w:rPr>
      </w:pPr>
    </w:p>
    <w:p w14:paraId="163A8790">
      <w:pPr>
        <w:spacing w:line="272" w:lineRule="auto"/>
        <w:rPr>
          <w:rFonts w:ascii="Arial"/>
          <w:sz w:val="21"/>
        </w:rPr>
      </w:pPr>
    </w:p>
    <w:p w14:paraId="48E1DB35">
      <w:pPr>
        <w:spacing w:line="273" w:lineRule="auto"/>
        <w:rPr>
          <w:rFonts w:ascii="Arial"/>
          <w:sz w:val="21"/>
        </w:rPr>
      </w:pPr>
    </w:p>
    <w:p w14:paraId="4E74E8FA">
      <w:pPr>
        <w:pStyle w:val="2"/>
        <w:spacing w:before="69" w:line="219" w:lineRule="auto"/>
        <w:ind w:left="4236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</w:p>
    <w:p w14:paraId="239CA4BE">
      <w:pPr>
        <w:spacing w:line="219" w:lineRule="auto"/>
        <w:sectPr>
          <w:pgSz w:w="11900" w:h="16839"/>
          <w:pgMar w:top="400" w:right="1784" w:bottom="0" w:left="960" w:header="0" w:footer="0" w:gutter="0"/>
          <w:cols w:space="720" w:num="1"/>
        </w:sectPr>
      </w:pPr>
    </w:p>
    <w:p w14:paraId="69AB9573">
      <w:pPr>
        <w:spacing w:line="244" w:lineRule="auto"/>
        <w:rPr>
          <w:rFonts w:ascii="Arial"/>
          <w:sz w:val="21"/>
        </w:rPr>
      </w:pPr>
    </w:p>
    <w:p w14:paraId="7F21D2C9">
      <w:pPr>
        <w:spacing w:line="245" w:lineRule="auto"/>
        <w:rPr>
          <w:rFonts w:ascii="Arial"/>
          <w:sz w:val="21"/>
        </w:rPr>
      </w:pPr>
    </w:p>
    <w:p w14:paraId="550D1C21">
      <w:pPr>
        <w:spacing w:line="375" w:lineRule="exact"/>
        <w:ind w:firstLine="1440"/>
      </w:pPr>
    </w:p>
    <w:p w14:paraId="53DD3AB0">
      <w:pPr>
        <w:spacing w:line="52" w:lineRule="exact"/>
      </w:pPr>
    </w:p>
    <w:tbl>
      <w:tblPr>
        <w:tblStyle w:val="6"/>
        <w:tblW w:w="802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3"/>
        <w:gridCol w:w="3009"/>
        <w:gridCol w:w="2762"/>
      </w:tblGrid>
      <w:tr w14:paraId="5E0537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9" w:hRule="atLeast"/>
        </w:trPr>
        <w:tc>
          <w:tcPr>
            <w:tcW w:w="2253" w:type="dxa"/>
            <w:vAlign w:val="top"/>
          </w:tcPr>
          <w:p w14:paraId="72CA929E">
            <w:pPr>
              <w:spacing w:line="368" w:lineRule="auto"/>
              <w:rPr>
                <w:rFonts w:ascii="Arial"/>
                <w:sz w:val="21"/>
              </w:rPr>
            </w:pPr>
          </w:p>
          <w:p w14:paraId="21546A77">
            <w:pPr>
              <w:pStyle w:val="7"/>
              <w:spacing w:before="68" w:line="413" w:lineRule="auto"/>
              <w:ind w:left="112" w:right="111" w:firstLine="4"/>
              <w:jc w:val="both"/>
            </w:pPr>
            <w:r>
              <w:rPr>
                <w:spacing w:val="-9"/>
              </w:rPr>
              <w:t>发展商品经济、建设市场、兴办集体经济，贴</w:t>
            </w:r>
            <w:r>
              <w:rPr>
                <w:spacing w:val="-2"/>
              </w:rPr>
              <w:t>合群众发展需求</w:t>
            </w:r>
          </w:p>
        </w:tc>
        <w:tc>
          <w:tcPr>
            <w:tcW w:w="3009" w:type="dxa"/>
            <w:vAlign w:val="top"/>
          </w:tcPr>
          <w:p w14:paraId="7815683D">
            <w:pPr>
              <w:pStyle w:val="7"/>
              <w:spacing w:before="206" w:line="219" w:lineRule="auto"/>
              <w:ind w:left="117"/>
            </w:pPr>
            <w:r>
              <w:rPr>
                <w:spacing w:val="-2"/>
              </w:rPr>
              <w:t>改革顺应群众增收致富的愿</w:t>
            </w:r>
          </w:p>
          <w:p w14:paraId="406B6C54">
            <w:pPr>
              <w:pStyle w:val="7"/>
              <w:spacing w:before="219" w:line="388" w:lineRule="auto"/>
              <w:ind w:left="111" w:right="161" w:firstLine="1"/>
            </w:pPr>
            <w:r>
              <w:rPr>
                <w:spacing w:val="-1"/>
              </w:rPr>
              <w:t>望，调动生产经营积极性→改革契合农民利益诉求，激发民</w:t>
            </w:r>
            <w:r>
              <w:rPr>
                <w:spacing w:val="-2"/>
              </w:rPr>
              <w:t>众参与热情</w:t>
            </w:r>
          </w:p>
        </w:tc>
        <w:tc>
          <w:tcPr>
            <w:tcW w:w="2762" w:type="dxa"/>
            <w:vAlign w:val="top"/>
          </w:tcPr>
          <w:p w14:paraId="7279EF20">
            <w:pPr>
              <w:spacing w:line="301" w:lineRule="auto"/>
              <w:rPr>
                <w:rFonts w:ascii="Arial"/>
                <w:sz w:val="21"/>
              </w:rPr>
            </w:pPr>
            <w:r>
              <w:pict>
                <v:rect id="_x0000_s1030" o:spid="_x0000_s1030" o:spt="1" style="position:absolute;left:0pt;margin-left:93.55pt;margin-top:7.5pt;height:0.75pt;width:0.75pt;mso-position-horizontal-relative:page;mso-position-vertical-relative:page;z-index:251673600;mso-width-relative:page;mso-height-relative:page;" fillcolor="#211D0A" filled="t" stroked="f" coordsize="21600,21600">
                  <v:path/>
                  <v:fill on="t" opacity="27499f" focussize="0,0"/>
                  <v:stroke on="f"/>
                  <v:imagedata o:title=""/>
                  <o:lock v:ext="edit"/>
                </v:rect>
              </w:pict>
            </w:r>
          </w:p>
          <w:p w14:paraId="6F65FA02">
            <w:pPr>
              <w:spacing w:line="301" w:lineRule="auto"/>
              <w:rPr>
                <w:rFonts w:ascii="Arial"/>
                <w:sz w:val="21"/>
              </w:rPr>
            </w:pPr>
          </w:p>
          <w:p w14:paraId="77264303">
            <w:pPr>
              <w:pStyle w:val="7"/>
              <w:spacing w:before="68" w:line="413" w:lineRule="auto"/>
              <w:ind w:left="117" w:right="118"/>
            </w:pPr>
            <w:r>
              <w:rPr>
                <w:spacing w:val="-1"/>
              </w:rPr>
              <w:t>顺应农民发展需求，充分调动农民参与改革的积极性</w:t>
            </w:r>
          </w:p>
        </w:tc>
      </w:tr>
      <w:tr w14:paraId="605DAC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1" w:hRule="atLeast"/>
        </w:trPr>
        <w:tc>
          <w:tcPr>
            <w:tcW w:w="2253" w:type="dxa"/>
            <w:vAlign w:val="top"/>
          </w:tcPr>
          <w:p w14:paraId="7F37D491">
            <w:pPr>
              <w:pStyle w:val="7"/>
              <w:spacing w:before="220" w:line="390" w:lineRule="auto"/>
              <w:ind w:left="114" w:right="111" w:firstLine="1"/>
              <w:jc w:val="both"/>
            </w:pPr>
            <w:r>
              <w:rPr>
                <w:spacing w:val="-9"/>
              </w:rPr>
              <w:t>组建专业市场、合作基金会，多元主体参与经</w:t>
            </w:r>
            <w:r>
              <w:rPr>
                <w:spacing w:val="-4"/>
              </w:rPr>
              <w:t>济建设</w:t>
            </w:r>
          </w:p>
        </w:tc>
        <w:tc>
          <w:tcPr>
            <w:tcW w:w="3009" w:type="dxa"/>
            <w:vAlign w:val="top"/>
          </w:tcPr>
          <w:p w14:paraId="2B10E6A8">
            <w:pPr>
              <w:pStyle w:val="7"/>
              <w:spacing w:before="220" w:line="390" w:lineRule="auto"/>
              <w:ind w:left="111" w:right="161"/>
              <w:jc w:val="both"/>
            </w:pPr>
            <w:r>
              <w:rPr>
                <w:spacing w:val="-1"/>
              </w:rPr>
              <w:t>各类市场主体、合作组织广泛参与产业发展→各类经营主体踊跃参与，丰富改革实践形式</w:t>
            </w:r>
          </w:p>
        </w:tc>
        <w:tc>
          <w:tcPr>
            <w:tcW w:w="2762" w:type="dxa"/>
            <w:vAlign w:val="top"/>
          </w:tcPr>
          <w:p w14:paraId="5321240C">
            <w:pPr>
              <w:spacing w:line="382" w:lineRule="auto"/>
              <w:rPr>
                <w:rFonts w:ascii="Arial"/>
                <w:sz w:val="21"/>
              </w:rPr>
            </w:pPr>
          </w:p>
          <w:p w14:paraId="64622883">
            <w:pPr>
              <w:pStyle w:val="7"/>
              <w:spacing w:before="68" w:line="413" w:lineRule="auto"/>
              <w:ind w:left="126" w:right="118"/>
            </w:pPr>
            <w:r>
              <w:rPr>
                <w:spacing w:val="-2"/>
              </w:rPr>
              <w:t>多元市场主体广泛参与，丰</w:t>
            </w:r>
            <w:r>
              <w:rPr>
                <w:spacing w:val="-3"/>
              </w:rPr>
              <w:t>富农村经济发展形态</w:t>
            </w:r>
          </w:p>
        </w:tc>
      </w:tr>
    </w:tbl>
    <w:p w14:paraId="722BC064">
      <w:pPr>
        <w:pStyle w:val="2"/>
        <w:spacing w:before="132" w:line="220" w:lineRule="auto"/>
        <w:ind w:left="118"/>
      </w:pPr>
      <w:r>
        <w:rPr>
          <w:spacing w:val="-1"/>
        </w:rPr>
        <w:t>【小问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详解】</w:t>
      </w:r>
    </w:p>
    <w:p w14:paraId="02DEC05B">
      <w:pPr>
        <w:pStyle w:val="2"/>
        <w:spacing w:before="221" w:line="219" w:lineRule="auto"/>
        <w:ind w:left="128"/>
      </w:pPr>
      <w:r>
        <w:t>影响：本小问从经济、政治、社会、改革示范角度说</w:t>
      </w:r>
      <w:r>
        <w:rPr>
          <w:spacing w:val="-1"/>
        </w:rPr>
        <w:t>明。解题思路如下表：</w:t>
      </w:r>
    </w:p>
    <w:p w14:paraId="036F82C7">
      <w:pPr>
        <w:spacing w:line="76" w:lineRule="exact"/>
      </w:pPr>
    </w:p>
    <w:tbl>
      <w:tblPr>
        <w:tblStyle w:val="6"/>
        <w:tblW w:w="803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3"/>
        <w:gridCol w:w="3024"/>
        <w:gridCol w:w="2762"/>
      </w:tblGrid>
      <w:tr w14:paraId="555FD5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2253" w:type="dxa"/>
            <w:vAlign w:val="top"/>
          </w:tcPr>
          <w:p w14:paraId="0938620D">
            <w:pPr>
              <w:pStyle w:val="7"/>
              <w:spacing w:before="217" w:line="219" w:lineRule="auto"/>
              <w:ind w:left="113"/>
            </w:pPr>
            <w:r>
              <w:rPr>
                <w:spacing w:val="-2"/>
              </w:rPr>
              <w:t>材料关键信息</w:t>
            </w:r>
          </w:p>
        </w:tc>
        <w:tc>
          <w:tcPr>
            <w:tcW w:w="3024" w:type="dxa"/>
            <w:vAlign w:val="top"/>
          </w:tcPr>
          <w:p w14:paraId="3D9BFFD5">
            <w:pPr>
              <w:pStyle w:val="7"/>
              <w:spacing w:before="217" w:line="220" w:lineRule="auto"/>
              <w:ind w:left="110"/>
            </w:pPr>
            <w:r>
              <w:rPr>
                <w:spacing w:val="-3"/>
              </w:rPr>
              <w:t>推理过程</w:t>
            </w:r>
          </w:p>
        </w:tc>
        <w:tc>
          <w:tcPr>
            <w:tcW w:w="2762" w:type="dxa"/>
            <w:vAlign w:val="top"/>
          </w:tcPr>
          <w:p w14:paraId="36FD758D">
            <w:pPr>
              <w:pStyle w:val="7"/>
              <w:spacing w:before="218" w:line="221" w:lineRule="auto"/>
              <w:ind w:left="116"/>
            </w:pPr>
            <w:r>
              <w:rPr>
                <w:spacing w:val="-5"/>
              </w:rPr>
              <w:t>影响</w:t>
            </w:r>
          </w:p>
        </w:tc>
      </w:tr>
      <w:tr w14:paraId="6348BD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7" w:hRule="atLeast"/>
        </w:trPr>
        <w:tc>
          <w:tcPr>
            <w:tcW w:w="2253" w:type="dxa"/>
            <w:vAlign w:val="top"/>
          </w:tcPr>
          <w:p w14:paraId="4D2CFECC">
            <w:pPr>
              <w:spacing w:line="364" w:lineRule="auto"/>
              <w:rPr>
                <w:rFonts w:ascii="Arial"/>
                <w:sz w:val="21"/>
              </w:rPr>
            </w:pPr>
          </w:p>
          <w:p w14:paraId="685A5452">
            <w:pPr>
              <w:pStyle w:val="7"/>
              <w:spacing w:before="68" w:line="413" w:lineRule="auto"/>
              <w:ind w:left="112" w:right="111" w:firstLine="4"/>
              <w:jc w:val="both"/>
            </w:pPr>
            <w:r>
              <w:rPr>
                <w:spacing w:val="-9"/>
              </w:rPr>
              <w:t>发展商品经济、培育市场、壮大集体经济、科</w:t>
            </w:r>
            <w:r>
              <w:rPr>
                <w:spacing w:val="-3"/>
              </w:rPr>
              <w:t>技兴农</w:t>
            </w:r>
          </w:p>
        </w:tc>
        <w:tc>
          <w:tcPr>
            <w:tcW w:w="3024" w:type="dxa"/>
            <w:vAlign w:val="top"/>
          </w:tcPr>
          <w:p w14:paraId="571F400C">
            <w:pPr>
              <w:pStyle w:val="7"/>
              <w:spacing w:before="199" w:line="395" w:lineRule="auto"/>
              <w:ind w:left="109" w:right="176"/>
              <w:jc w:val="both"/>
            </w:pPr>
            <w:r>
              <w:rPr>
                <w:spacing w:val="-1"/>
              </w:rPr>
              <w:t>解放农村生产力，丰富农村产业形态→推动农村经济发展，活跃城乡商品交流，提升农业</w:t>
            </w:r>
            <w:r>
              <w:rPr>
                <w:spacing w:val="-2"/>
              </w:rPr>
              <w:t>发展水平</w:t>
            </w:r>
          </w:p>
        </w:tc>
        <w:tc>
          <w:tcPr>
            <w:tcW w:w="2762" w:type="dxa"/>
            <w:vAlign w:val="top"/>
          </w:tcPr>
          <w:p w14:paraId="2F947DB9">
            <w:pPr>
              <w:spacing w:line="298" w:lineRule="auto"/>
              <w:rPr>
                <w:rFonts w:ascii="Arial"/>
                <w:sz w:val="21"/>
              </w:rPr>
            </w:pPr>
          </w:p>
          <w:p w14:paraId="48B4DE3A">
            <w:pPr>
              <w:spacing w:line="298" w:lineRule="auto"/>
              <w:rPr>
                <w:rFonts w:ascii="Arial"/>
                <w:sz w:val="21"/>
              </w:rPr>
            </w:pPr>
          </w:p>
          <w:p w14:paraId="1DA42501">
            <w:pPr>
              <w:pStyle w:val="7"/>
              <w:spacing w:before="68" w:line="413" w:lineRule="auto"/>
              <w:ind w:left="117" w:right="118" w:hanging="2"/>
            </w:pPr>
            <w:r>
              <w:rPr>
                <w:spacing w:val="-1"/>
              </w:rPr>
              <w:t>解放农村生产力，推动农村经济繁荣，加快农业发展</w:t>
            </w:r>
          </w:p>
        </w:tc>
      </w:tr>
      <w:tr w14:paraId="596B9E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atLeast"/>
        </w:trPr>
        <w:tc>
          <w:tcPr>
            <w:tcW w:w="2253" w:type="dxa"/>
            <w:vAlign w:val="top"/>
          </w:tcPr>
          <w:p w14:paraId="118D022B">
            <w:pPr>
              <w:spacing w:line="377" w:lineRule="auto"/>
              <w:rPr>
                <w:rFonts w:ascii="Arial"/>
                <w:sz w:val="21"/>
              </w:rPr>
            </w:pPr>
          </w:p>
          <w:p w14:paraId="17F4126A">
            <w:pPr>
              <w:pStyle w:val="7"/>
              <w:spacing w:before="68" w:line="219" w:lineRule="auto"/>
              <w:ind w:left="114"/>
            </w:pPr>
            <w:r>
              <w:rPr>
                <w:spacing w:val="-2"/>
              </w:rPr>
              <w:t>完善乡镇与村级组</w:t>
            </w:r>
          </w:p>
          <w:p w14:paraId="34D4B5F3">
            <w:pPr>
              <w:pStyle w:val="7"/>
              <w:spacing w:before="218" w:line="414" w:lineRule="auto"/>
              <w:ind w:left="114" w:right="111" w:firstLine="2"/>
            </w:pPr>
            <w:r>
              <w:rPr>
                <w:spacing w:val="-9"/>
              </w:rPr>
              <w:t>织、推行政务公开、深</w:t>
            </w:r>
            <w:r>
              <w:rPr>
                <w:spacing w:val="-2"/>
              </w:rPr>
              <w:t>化体制改革</w:t>
            </w:r>
          </w:p>
        </w:tc>
        <w:tc>
          <w:tcPr>
            <w:tcW w:w="3024" w:type="dxa"/>
            <w:vAlign w:val="top"/>
          </w:tcPr>
          <w:p w14:paraId="030503E9">
            <w:pPr>
              <w:pStyle w:val="7"/>
              <w:spacing w:before="213" w:line="395" w:lineRule="auto"/>
              <w:ind w:left="110" w:right="176"/>
              <w:jc w:val="both"/>
            </w:pPr>
            <w:r>
              <w:rPr>
                <w:spacing w:val="-1"/>
              </w:rPr>
              <w:t>规范基层权力运行，健全乡村治理体系→完善农村基层治理体系，推动基层民主与行政规</w:t>
            </w:r>
            <w:r>
              <w:rPr>
                <w:spacing w:val="-3"/>
              </w:rPr>
              <w:t>范化发展</w:t>
            </w:r>
          </w:p>
        </w:tc>
        <w:tc>
          <w:tcPr>
            <w:tcW w:w="2762" w:type="dxa"/>
            <w:vAlign w:val="top"/>
          </w:tcPr>
          <w:p w14:paraId="550AE1F4">
            <w:pPr>
              <w:spacing w:line="304" w:lineRule="auto"/>
              <w:rPr>
                <w:rFonts w:ascii="Arial"/>
                <w:sz w:val="21"/>
              </w:rPr>
            </w:pPr>
          </w:p>
          <w:p w14:paraId="187AE379">
            <w:pPr>
              <w:spacing w:line="305" w:lineRule="auto"/>
              <w:rPr>
                <w:rFonts w:ascii="Arial"/>
                <w:sz w:val="21"/>
              </w:rPr>
            </w:pPr>
          </w:p>
          <w:p w14:paraId="023C59E1">
            <w:pPr>
              <w:pStyle w:val="7"/>
              <w:spacing w:before="68" w:line="414" w:lineRule="auto"/>
              <w:ind w:left="114" w:right="118" w:firstLine="1"/>
            </w:pPr>
            <w:r>
              <w:rPr>
                <w:spacing w:val="-1"/>
              </w:rPr>
              <w:t>健全农村基层治理体系，促进基层治理走向规范</w:t>
            </w:r>
          </w:p>
        </w:tc>
      </w:tr>
      <w:tr w14:paraId="74CB69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atLeast"/>
        </w:trPr>
        <w:tc>
          <w:tcPr>
            <w:tcW w:w="2253" w:type="dxa"/>
            <w:vAlign w:val="top"/>
          </w:tcPr>
          <w:p w14:paraId="0D41EF22">
            <w:pPr>
              <w:spacing w:line="378" w:lineRule="auto"/>
              <w:rPr>
                <w:rFonts w:ascii="Arial"/>
                <w:sz w:val="21"/>
              </w:rPr>
            </w:pPr>
          </w:p>
          <w:p w14:paraId="15986EB5">
            <w:pPr>
              <w:pStyle w:val="7"/>
              <w:spacing w:before="68" w:line="413" w:lineRule="auto"/>
              <w:ind w:left="115" w:right="111" w:firstLine="3"/>
              <w:jc w:val="both"/>
            </w:pPr>
            <w:r>
              <w:rPr>
                <w:spacing w:val="-10"/>
              </w:rPr>
              <w:t>市场兴起、集体经济壮</w:t>
            </w:r>
            <w:r>
              <w:rPr>
                <w:spacing w:val="-9"/>
              </w:rPr>
              <w:t>大、科技普及带动民生</w:t>
            </w:r>
            <w:r>
              <w:rPr>
                <w:spacing w:val="-6"/>
              </w:rPr>
              <w:t>改善</w:t>
            </w:r>
          </w:p>
        </w:tc>
        <w:tc>
          <w:tcPr>
            <w:tcW w:w="3024" w:type="dxa"/>
            <w:vAlign w:val="top"/>
          </w:tcPr>
          <w:p w14:paraId="0F9947A4">
            <w:pPr>
              <w:pStyle w:val="7"/>
              <w:spacing w:before="213" w:line="395" w:lineRule="auto"/>
              <w:ind w:left="110" w:right="176" w:firstLine="2"/>
              <w:jc w:val="both"/>
            </w:pPr>
            <w:r>
              <w:rPr>
                <w:spacing w:val="-1"/>
              </w:rPr>
              <w:t>拓宽农民增收渠道，改善生产生活条件→增加农民收入，改善农村民生，提升民众生活质</w:t>
            </w:r>
            <w:r>
              <w:t>量</w:t>
            </w:r>
          </w:p>
        </w:tc>
        <w:tc>
          <w:tcPr>
            <w:tcW w:w="2762" w:type="dxa"/>
            <w:vAlign w:val="top"/>
          </w:tcPr>
          <w:p w14:paraId="5D80A2CC">
            <w:pPr>
              <w:spacing w:line="305" w:lineRule="auto"/>
              <w:rPr>
                <w:rFonts w:ascii="Arial"/>
                <w:sz w:val="21"/>
              </w:rPr>
            </w:pPr>
          </w:p>
          <w:p w14:paraId="486CB5CB">
            <w:pPr>
              <w:spacing w:line="306" w:lineRule="auto"/>
              <w:rPr>
                <w:rFonts w:ascii="Arial"/>
                <w:sz w:val="21"/>
              </w:rPr>
            </w:pPr>
          </w:p>
          <w:p w14:paraId="76655DA9">
            <w:pPr>
              <w:pStyle w:val="7"/>
              <w:spacing w:before="69" w:line="413" w:lineRule="auto"/>
              <w:ind w:left="117" w:right="118" w:firstLine="1"/>
            </w:pPr>
            <w:r>
              <w:rPr>
                <w:spacing w:val="-1"/>
              </w:rPr>
              <w:t>拓宽农民增收途径，改善农</w:t>
            </w:r>
            <w:r>
              <w:rPr>
                <w:spacing w:val="-2"/>
              </w:rPr>
              <w:t>村民生状况</w:t>
            </w:r>
          </w:p>
        </w:tc>
      </w:tr>
      <w:tr w14:paraId="24C515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9" w:hRule="atLeast"/>
        </w:trPr>
        <w:tc>
          <w:tcPr>
            <w:tcW w:w="2253" w:type="dxa"/>
            <w:vAlign w:val="top"/>
          </w:tcPr>
          <w:p w14:paraId="5FA6495F">
            <w:pPr>
              <w:spacing w:line="305" w:lineRule="auto"/>
              <w:rPr>
                <w:rFonts w:ascii="Arial"/>
                <w:sz w:val="21"/>
              </w:rPr>
            </w:pPr>
          </w:p>
          <w:p w14:paraId="69141F7D">
            <w:pPr>
              <w:spacing w:line="306" w:lineRule="auto"/>
              <w:rPr>
                <w:rFonts w:ascii="Arial"/>
                <w:sz w:val="21"/>
              </w:rPr>
            </w:pPr>
          </w:p>
          <w:p w14:paraId="1020E7E2">
            <w:pPr>
              <w:pStyle w:val="7"/>
              <w:spacing w:before="68" w:line="414" w:lineRule="auto"/>
              <w:ind w:left="114" w:right="242"/>
            </w:pPr>
            <w:r>
              <w:rPr>
                <w:spacing w:val="-2"/>
              </w:rPr>
              <w:t>十余县市开展多样改革探索并总结经验</w:t>
            </w:r>
          </w:p>
        </w:tc>
        <w:tc>
          <w:tcPr>
            <w:tcW w:w="3024" w:type="dxa"/>
            <w:vAlign w:val="top"/>
          </w:tcPr>
          <w:p w14:paraId="460E4BF7">
            <w:pPr>
              <w:pStyle w:val="7"/>
              <w:spacing w:before="217" w:line="396" w:lineRule="auto"/>
              <w:ind w:left="112" w:right="176"/>
              <w:jc w:val="both"/>
            </w:pPr>
            <w:r>
              <w:rPr>
                <w:spacing w:val="-1"/>
              </w:rPr>
              <w:t>各地形成可借鉴的实践模式，为后续改革提供参考→积累丰富改革经验，为全国农村深化</w:t>
            </w:r>
            <w:r>
              <w:rPr>
                <w:spacing w:val="-2"/>
              </w:rPr>
              <w:t>改革提供借鉴</w:t>
            </w:r>
          </w:p>
        </w:tc>
        <w:tc>
          <w:tcPr>
            <w:tcW w:w="2762" w:type="dxa"/>
            <w:vAlign w:val="top"/>
          </w:tcPr>
          <w:p w14:paraId="510A0265">
            <w:pPr>
              <w:spacing w:line="306" w:lineRule="auto"/>
              <w:rPr>
                <w:rFonts w:ascii="Arial"/>
                <w:sz w:val="21"/>
              </w:rPr>
            </w:pPr>
          </w:p>
          <w:p w14:paraId="7EB50360">
            <w:pPr>
              <w:spacing w:line="306" w:lineRule="auto"/>
              <w:rPr>
                <w:rFonts w:ascii="Arial"/>
                <w:sz w:val="21"/>
              </w:rPr>
            </w:pPr>
          </w:p>
          <w:p w14:paraId="4FC69F9D">
            <w:pPr>
              <w:pStyle w:val="7"/>
              <w:spacing w:before="69" w:line="413" w:lineRule="auto"/>
              <w:ind w:left="116" w:right="118"/>
            </w:pPr>
            <w:r>
              <w:rPr>
                <w:spacing w:val="-1"/>
              </w:rPr>
              <w:t>积累改革实践经验，为全国农村改革提供示范与参考</w:t>
            </w:r>
          </w:p>
        </w:tc>
      </w:tr>
    </w:tbl>
    <w:p w14:paraId="596AAE26">
      <w:pPr>
        <w:spacing w:line="313" w:lineRule="auto"/>
        <w:rPr>
          <w:rFonts w:ascii="Arial"/>
          <w:sz w:val="21"/>
        </w:rPr>
      </w:pPr>
    </w:p>
    <w:p w14:paraId="0E4BF179">
      <w:pPr>
        <w:spacing w:line="314" w:lineRule="auto"/>
        <w:rPr>
          <w:rFonts w:ascii="Arial"/>
          <w:sz w:val="21"/>
        </w:rPr>
      </w:pPr>
    </w:p>
    <w:p w14:paraId="6C70198E">
      <w:pPr>
        <w:pStyle w:val="2"/>
        <w:spacing w:before="68" w:line="219" w:lineRule="auto"/>
        <w:ind w:left="4236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</w:p>
    <w:p w14:paraId="3459DA81">
      <w:pPr>
        <w:spacing w:line="219" w:lineRule="auto"/>
        <w:sectPr>
          <w:pgSz w:w="11900" w:h="16839"/>
          <w:pgMar w:top="400" w:right="1784" w:bottom="0" w:left="960" w:header="0" w:footer="0" w:gutter="0"/>
          <w:cols w:space="720" w:num="1"/>
        </w:sectPr>
      </w:pPr>
    </w:p>
    <w:p w14:paraId="61B95271">
      <w:pPr>
        <w:spacing w:line="244" w:lineRule="auto"/>
        <w:rPr>
          <w:rFonts w:ascii="Arial"/>
          <w:sz w:val="21"/>
        </w:rPr>
      </w:pPr>
    </w:p>
    <w:p w14:paraId="505D0C3B">
      <w:pPr>
        <w:spacing w:line="245" w:lineRule="auto"/>
        <w:rPr>
          <w:rFonts w:ascii="Arial"/>
          <w:sz w:val="21"/>
        </w:rPr>
      </w:pPr>
    </w:p>
    <w:p w14:paraId="56A0D8FA">
      <w:pPr>
        <w:spacing w:line="375" w:lineRule="exact"/>
        <w:ind w:firstLine="1440"/>
      </w:pPr>
    </w:p>
    <w:p w14:paraId="56BF78A9">
      <w:pPr>
        <w:pStyle w:val="2"/>
        <w:spacing w:before="183" w:line="351" w:lineRule="auto"/>
        <w:ind w:left="547" w:right="6966" w:hanging="403"/>
        <w:rPr>
          <w:rFonts w:ascii="楷体" w:hAnsi="楷体" w:eastAsia="楷体" w:cs="楷体"/>
        </w:rPr>
      </w:pPr>
      <w:r>
        <w:pict>
          <v:rect id="_x0000_s1031" o:spid="_x0000_s1031" o:spt="1" style="position:absolute;left:0pt;margin-left:357pt;margin-top:10.15pt;height:0.75pt;width:0.75pt;z-index:251675648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rFonts w:ascii="Times New Roman" w:hAnsi="Times New Roman" w:eastAsia="Times New Roman" w:cs="Times New Roman"/>
          <w:spacing w:val="-6"/>
        </w:rPr>
        <w:t>19.</w:t>
      </w:r>
      <w:r>
        <w:rPr>
          <w:rFonts w:ascii="Times New Roman" w:hAnsi="Times New Roman" w:eastAsia="Times New Roman" w:cs="Times New Roman"/>
          <w:spacing w:val="16"/>
          <w:w w:val="101"/>
        </w:rPr>
        <w:t xml:space="preserve">  </w:t>
      </w:r>
      <w:r>
        <w:rPr>
          <w:spacing w:val="-6"/>
        </w:rPr>
        <w:t>阅读材料，完成下列要求。</w:t>
      </w:r>
      <w:r>
        <w:rPr>
          <w:rFonts w:ascii="楷体" w:hAnsi="楷体" w:eastAsia="楷体" w:cs="楷体"/>
          <w:spacing w:val="-5"/>
        </w:rPr>
        <w:t>材料</w:t>
      </w:r>
    </w:p>
    <w:tbl>
      <w:tblPr>
        <w:tblStyle w:val="6"/>
        <w:tblW w:w="832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77"/>
        <w:gridCol w:w="2770"/>
        <w:gridCol w:w="2777"/>
      </w:tblGrid>
      <w:tr w14:paraId="3D5229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4" w:hRule="atLeast"/>
        </w:trPr>
        <w:tc>
          <w:tcPr>
            <w:tcW w:w="2777" w:type="dxa"/>
            <w:vAlign w:val="top"/>
          </w:tcPr>
          <w:p w14:paraId="237032E6">
            <w:pPr>
              <w:spacing w:before="105" w:line="1830" w:lineRule="exact"/>
              <w:ind w:firstLine="105"/>
            </w:pPr>
            <w:r>
              <w:rPr>
                <w:position w:val="-36"/>
              </w:rPr>
              <w:drawing>
                <wp:inline distT="0" distB="0" distL="0" distR="0">
                  <wp:extent cx="1600200" cy="1162050"/>
                  <wp:effectExtent l="0" t="0" r="0" b="0"/>
                  <wp:docPr id="90" name="IM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 9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0" w:type="dxa"/>
            <w:vAlign w:val="top"/>
          </w:tcPr>
          <w:p w14:paraId="3368314A">
            <w:pPr>
              <w:spacing w:before="120" w:line="1785" w:lineRule="exact"/>
              <w:ind w:firstLine="102"/>
            </w:pPr>
            <w:r>
              <w:rPr>
                <w:position w:val="-35"/>
              </w:rPr>
              <w:drawing>
                <wp:inline distT="0" distB="0" distL="0" distR="0">
                  <wp:extent cx="1181100" cy="1133475"/>
                  <wp:effectExtent l="0" t="0" r="0" b="0"/>
                  <wp:docPr id="92" name="IM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 9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7" w:type="dxa"/>
            <w:vAlign w:val="top"/>
          </w:tcPr>
          <w:p w14:paraId="61662096">
            <w:pPr>
              <w:spacing w:before="120" w:line="1785" w:lineRule="exact"/>
              <w:ind w:firstLine="107"/>
            </w:pPr>
            <w:r>
              <w:rPr>
                <w:position w:val="-35"/>
              </w:rPr>
              <w:drawing>
                <wp:inline distT="0" distB="0" distL="0" distR="0">
                  <wp:extent cx="1390650" cy="1133475"/>
                  <wp:effectExtent l="0" t="0" r="0" b="0"/>
                  <wp:docPr id="94" name="IM 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 9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5361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6" w:hRule="atLeast"/>
        </w:trPr>
        <w:tc>
          <w:tcPr>
            <w:tcW w:w="2777" w:type="dxa"/>
            <w:vAlign w:val="top"/>
          </w:tcPr>
          <w:p w14:paraId="776EEA72">
            <w:pPr>
              <w:spacing w:before="209" w:line="220" w:lineRule="auto"/>
              <w:ind w:left="1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0"/>
                <w:sz w:val="21"/>
                <w:szCs w:val="21"/>
              </w:rPr>
              <w:t>图</w:t>
            </w:r>
            <w:r>
              <w:rPr>
                <w:rFonts w:ascii="楷体" w:hAnsi="楷体" w:eastAsia="楷体" w:cs="楷体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  <w:sz w:val="21"/>
                <w:szCs w:val="21"/>
              </w:rPr>
              <w:t>1</w:t>
            </w:r>
            <w:r>
              <w:rPr>
                <w:rFonts w:ascii="Times New Roman" w:hAnsi="Times New Roman" w:eastAsia="Times New Roman" w:cs="Times New Roman"/>
                <w:spacing w:val="5"/>
                <w:sz w:val="21"/>
                <w:szCs w:val="21"/>
              </w:rPr>
              <w:t xml:space="preserve">    </w:t>
            </w:r>
            <w:r>
              <w:rPr>
                <w:rFonts w:ascii="楷体" w:hAnsi="楷体" w:eastAsia="楷体" w:cs="楷体"/>
                <w:spacing w:val="-10"/>
                <w:sz w:val="21"/>
                <w:szCs w:val="21"/>
              </w:rPr>
              <w:t>洗脸台，约</w:t>
            </w:r>
            <w:r>
              <w:rPr>
                <w:rFonts w:ascii="楷体" w:hAnsi="楷体" w:eastAsia="楷体" w:cs="楷体"/>
                <w:spacing w:val="-26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  <w:sz w:val="21"/>
                <w:szCs w:val="21"/>
              </w:rPr>
              <w:t>1745</w:t>
            </w:r>
          </w:p>
          <w:p w14:paraId="0BDD51E6">
            <w:pPr>
              <w:spacing w:before="218" w:line="377" w:lineRule="auto"/>
              <w:ind w:left="112" w:hanging="5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>~</w:t>
            </w:r>
            <w:r>
              <w:rPr>
                <w:rFonts w:ascii="Times New Roman" w:hAnsi="Times New Roman" w:eastAsia="Times New Roman" w:cs="Times New Roman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 xml:space="preserve">1749 </w:t>
            </w:r>
            <w:r>
              <w:rPr>
                <w:rFonts w:ascii="楷体" w:hAnsi="楷体" w:eastAsia="楷体" w:cs="楷体"/>
                <w:spacing w:val="-5"/>
                <w:sz w:val="21"/>
                <w:szCs w:val="21"/>
              </w:rPr>
              <w:t>年，法国，松木和橡</w:t>
            </w:r>
            <w:r>
              <w:rPr>
                <w:rFonts w:ascii="楷体" w:hAnsi="楷体" w:eastAsia="楷体" w:cs="楷体"/>
                <w:sz w:val="21"/>
                <w:szCs w:val="21"/>
              </w:rPr>
              <w:t xml:space="preserve"> </w:t>
            </w:r>
            <w:r>
              <w:rPr>
                <w:rFonts w:ascii="楷体" w:hAnsi="楷体" w:eastAsia="楷体" w:cs="楷体"/>
                <w:spacing w:val="-7"/>
                <w:sz w:val="21"/>
                <w:szCs w:val="21"/>
              </w:rPr>
              <w:t>木饰面，镶嵌珍珠母和象牙。</w:t>
            </w:r>
          </w:p>
        </w:tc>
        <w:tc>
          <w:tcPr>
            <w:tcW w:w="2770" w:type="dxa"/>
            <w:vAlign w:val="top"/>
          </w:tcPr>
          <w:p w14:paraId="26F7F9EF">
            <w:pPr>
              <w:spacing w:before="208" w:line="389" w:lineRule="auto"/>
              <w:ind w:left="105" w:firstLine="30"/>
              <w:jc w:val="both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7"/>
                <w:sz w:val="21"/>
                <w:szCs w:val="21"/>
              </w:rPr>
              <w:t>图</w:t>
            </w:r>
            <w:r>
              <w:rPr>
                <w:rFonts w:ascii="楷体" w:hAnsi="楷体" w:eastAsia="楷体" w:cs="楷体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 xml:space="preserve">2    </w:t>
            </w:r>
            <w:r>
              <w:rPr>
                <w:rFonts w:ascii="楷体" w:hAnsi="楷体" w:eastAsia="楷体" w:cs="楷体"/>
                <w:spacing w:val="-7"/>
                <w:sz w:val="21"/>
                <w:szCs w:val="21"/>
              </w:rPr>
              <w:t>椅子，</w:t>
            </w: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 xml:space="preserve">1925 </w:t>
            </w:r>
            <w:r>
              <w:rPr>
                <w:rFonts w:ascii="楷体" w:hAnsi="楷体" w:eastAsia="楷体" w:cs="楷体"/>
                <w:spacing w:val="-7"/>
                <w:sz w:val="21"/>
                <w:szCs w:val="21"/>
              </w:rPr>
              <w:t>年，德国，</w:t>
            </w:r>
            <w:r>
              <w:rPr>
                <w:rFonts w:ascii="楷体" w:hAnsi="楷体" w:eastAsia="楷体" w:cs="楷体"/>
                <w:spacing w:val="-3"/>
                <w:sz w:val="21"/>
                <w:szCs w:val="21"/>
              </w:rPr>
              <w:t>框架由镀镍钢管制成，椅背为织物。</w:t>
            </w:r>
          </w:p>
        </w:tc>
        <w:tc>
          <w:tcPr>
            <w:tcW w:w="2777" w:type="dxa"/>
            <w:vAlign w:val="top"/>
          </w:tcPr>
          <w:p w14:paraId="4E0779CA">
            <w:pPr>
              <w:spacing w:before="208" w:line="389" w:lineRule="auto"/>
              <w:ind w:left="117" w:firstLine="24"/>
              <w:jc w:val="both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0"/>
                <w:sz w:val="21"/>
                <w:szCs w:val="21"/>
              </w:rPr>
              <w:t>图</w:t>
            </w:r>
            <w:r>
              <w:rPr>
                <w:rFonts w:ascii="楷体" w:hAnsi="楷体" w:eastAsia="楷体" w:cs="楷体"/>
                <w:spacing w:val="-4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  <w:sz w:val="21"/>
                <w:szCs w:val="21"/>
              </w:rPr>
              <w:t>3</w:t>
            </w:r>
            <w:r>
              <w:rPr>
                <w:rFonts w:ascii="Times New Roman" w:hAnsi="Times New Roman" w:eastAsia="Times New Roman" w:cs="Times New Roman"/>
                <w:spacing w:val="7"/>
                <w:sz w:val="21"/>
                <w:szCs w:val="21"/>
              </w:rPr>
              <w:t xml:space="preserve">    </w:t>
            </w:r>
            <w:r>
              <w:rPr>
                <w:rFonts w:ascii="楷体" w:hAnsi="楷体" w:eastAsia="楷体" w:cs="楷体"/>
                <w:spacing w:val="-10"/>
                <w:sz w:val="21"/>
                <w:szCs w:val="21"/>
              </w:rPr>
              <w:t>台灯，</w:t>
            </w:r>
            <w:r>
              <w:rPr>
                <w:rFonts w:ascii="Times New Roman" w:hAnsi="Times New Roman" w:eastAsia="Times New Roman" w:cs="Times New Roman"/>
                <w:spacing w:val="-10"/>
                <w:sz w:val="21"/>
                <w:szCs w:val="21"/>
              </w:rPr>
              <w:t xml:space="preserve">1928 </w:t>
            </w:r>
            <w:r>
              <w:rPr>
                <w:rFonts w:ascii="楷体" w:hAnsi="楷体" w:eastAsia="楷体" w:cs="楷体"/>
                <w:spacing w:val="-10"/>
                <w:sz w:val="21"/>
                <w:szCs w:val="21"/>
              </w:rPr>
              <w:t>年，德国，</w:t>
            </w:r>
            <w:r>
              <w:rPr>
                <w:rFonts w:ascii="楷体" w:hAnsi="楷体" w:eastAsia="楷体" w:cs="楷体"/>
                <w:spacing w:val="-4"/>
                <w:sz w:val="21"/>
                <w:szCs w:val="21"/>
              </w:rPr>
              <w:t>有可旋转支架，可调节灯光照射角度。</w:t>
            </w:r>
          </w:p>
        </w:tc>
      </w:tr>
    </w:tbl>
    <w:p w14:paraId="67EB88DF">
      <w:pPr>
        <w:spacing w:before="142" w:line="223" w:lineRule="auto"/>
        <w:ind w:left="5244"/>
        <w:rPr>
          <w:rFonts w:ascii="楷体" w:hAnsi="楷体" w:eastAsia="楷体" w:cs="楷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5"/>
          <w:sz w:val="21"/>
          <w:szCs w:val="21"/>
        </w:rPr>
        <w:t>——</w:t>
      </w:r>
      <w:r>
        <w:rPr>
          <w:rFonts w:ascii="楷体" w:hAnsi="楷体" w:eastAsia="楷体" w:cs="楷体"/>
          <w:spacing w:val="-5"/>
          <w:sz w:val="21"/>
          <w:szCs w:val="21"/>
        </w:rPr>
        <w:t>据［美］维克多</w:t>
      </w:r>
      <w:r>
        <w:rPr>
          <w:rFonts w:ascii="楷体" w:hAnsi="楷体" w:eastAsia="楷体" w:cs="楷体"/>
          <w:spacing w:val="-1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>·</w:t>
      </w:r>
      <w:r>
        <w:rPr>
          <w:rFonts w:ascii="楷体" w:hAnsi="楷体" w:eastAsia="楷体" w:cs="楷体"/>
          <w:spacing w:val="-8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>马格林《世界设计史》整理</w:t>
      </w:r>
    </w:p>
    <w:p w14:paraId="4162F96D">
      <w:pPr>
        <w:pStyle w:val="2"/>
        <w:spacing w:before="215" w:line="411" w:lineRule="auto"/>
        <w:ind w:left="127" w:right="210"/>
      </w:pPr>
      <w:r>
        <w:rPr>
          <w:spacing w:val="-3"/>
        </w:rPr>
        <w:t>根据材料并结合所学知识，评析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20 </w:t>
      </w:r>
      <w:r>
        <w:rPr>
          <w:spacing w:val="-3"/>
        </w:rPr>
        <w:t>世纪初西方现代工业</w:t>
      </w:r>
      <w:r>
        <w:rPr>
          <w:spacing w:val="-4"/>
        </w:rPr>
        <w:t>设计风格的兴起。（要求：史论结合，逻辑严密，</w:t>
      </w:r>
      <w:r>
        <w:rPr>
          <w:spacing w:val="-2"/>
        </w:rPr>
        <w:t>表述清晰）</w:t>
      </w:r>
    </w:p>
    <w:p w14:paraId="04E2EB1B">
      <w:pPr>
        <w:pStyle w:val="2"/>
        <w:spacing w:before="1" w:line="411" w:lineRule="auto"/>
        <w:ind w:left="127" w:right="77" w:hanging="9"/>
      </w:pPr>
      <w:r>
        <w:rPr>
          <w:color w:val="2E75B6"/>
        </w:rPr>
        <w:t>【答案】</w:t>
      </w:r>
      <w:r>
        <w:t>评析：20</w:t>
      </w:r>
      <w:r>
        <w:rPr>
          <w:spacing w:val="-44"/>
        </w:rPr>
        <w:t xml:space="preserve"> </w:t>
      </w:r>
      <w:r>
        <w:t>世纪初西方现代工业设计风格的兴起，是工业技术进步、社会结构变</w:t>
      </w:r>
      <w:r>
        <w:rPr>
          <w:spacing w:val="-1"/>
        </w:rPr>
        <w:t>化与现代艺术思潮</w:t>
      </w:r>
      <w:r>
        <w:rPr>
          <w:spacing w:val="2"/>
        </w:rPr>
        <w:t>共同推动的结果，它以功能主义为核心，完成了从传统贵族化装饰设计</w:t>
      </w:r>
      <w:r>
        <w:rPr>
          <w:spacing w:val="1"/>
        </w:rPr>
        <w:t>向现代大众化实用设计的转型，对</w:t>
      </w:r>
      <w:r>
        <w:rPr>
          <w:spacing w:val="-1"/>
        </w:rPr>
        <w:t>现代设计体系具有奠基性意义。</w:t>
      </w:r>
    </w:p>
    <w:p w14:paraId="7A4351D0">
      <w:pPr>
        <w:pStyle w:val="2"/>
        <w:spacing w:before="4" w:line="411" w:lineRule="auto"/>
        <w:ind w:left="127" w:right="163" w:firstLine="14"/>
      </w:pPr>
      <w:r>
        <w:t>阐述：工业革命带来了钢管、玻璃等新材料与批量</w:t>
      </w:r>
      <w:r>
        <w:rPr>
          <w:spacing w:val="-1"/>
        </w:rPr>
        <w:t>生产技术，传统洛可可式家具（如镶嵌珍珠母、象牙的</w:t>
      </w:r>
      <w:r>
        <w:t>洗脸台）工艺复杂、成本高昂，无法适配工业化生产与大众市场需求。同时，包豪斯</w:t>
      </w:r>
      <w:r>
        <w:rPr>
          <w:spacing w:val="-1"/>
        </w:rPr>
        <w:t>等设计运动倡导“艺术与技术统一</w:t>
      </w:r>
      <w:r>
        <w:rPr>
          <w:spacing w:val="-68"/>
        </w:rPr>
        <w:t xml:space="preserve"> </w:t>
      </w:r>
      <w:r>
        <w:rPr>
          <w:spacing w:val="-1"/>
        </w:rPr>
        <w:t>”，为设计革新提供了理论支撑。设计以功能为核心，摒弃冗余装饰：钢管椅以工业材料打造简洁结构，服务实用需求；台灯以可调节支架实现功能优先，体现“形式追随功能</w:t>
      </w:r>
      <w:r>
        <w:rPr>
          <w:spacing w:val="-68"/>
        </w:rPr>
        <w:t xml:space="preserve"> </w:t>
      </w:r>
      <w:r>
        <w:rPr>
          <w:spacing w:val="-1"/>
        </w:rPr>
        <w:t>”的理性美学，形成</w:t>
      </w:r>
      <w:r>
        <w:t>了简洁、实用、适配批量生产的现代风格。它推动了设计民主化，奠定了现代设计的</w:t>
      </w:r>
      <w:r>
        <w:rPr>
          <w:spacing w:val="-1"/>
        </w:rPr>
        <w:t>功能主义原则，深刻</w:t>
      </w:r>
      <w:r>
        <w:t>影响了后世设计体系；但部分作品过度强调理性，忽视人文关怀与文化多样性，也存</w:t>
      </w:r>
      <w:r>
        <w:rPr>
          <w:spacing w:val="-1"/>
        </w:rPr>
        <w:t>在标准化带来的形式</w:t>
      </w:r>
      <w:r>
        <w:rPr>
          <w:spacing w:val="-2"/>
        </w:rPr>
        <w:t>单调问题。</w:t>
      </w:r>
    </w:p>
    <w:p w14:paraId="5A1ADD6D">
      <w:pPr>
        <w:pStyle w:val="2"/>
        <w:spacing w:before="1" w:line="411" w:lineRule="auto"/>
        <w:ind w:left="128" w:firstLine="2"/>
      </w:pPr>
      <w:r>
        <w:t>综上，20</w:t>
      </w:r>
      <w:r>
        <w:rPr>
          <w:spacing w:val="-45"/>
        </w:rPr>
        <w:t xml:space="preserve"> </w:t>
      </w:r>
      <w:r>
        <w:t>世纪初西方现代工业设计风格的兴起，是工业文明</w:t>
      </w:r>
      <w:r>
        <w:rPr>
          <w:spacing w:val="-1"/>
        </w:rPr>
        <w:t>发展的必然产物。它以实用理性为核心，革新了设计理念与生产方式，实现了设计的大众化转型，其确立的功能主义原则至今仍是</w:t>
      </w:r>
      <w:r>
        <w:rPr>
          <w:spacing w:val="-2"/>
        </w:rPr>
        <w:t>现代设计的重要基石，</w:t>
      </w:r>
      <w:r>
        <w:rPr>
          <w:spacing w:val="-1"/>
        </w:rPr>
        <w:t>推动了设计从服务权贵走向服务大众的根本变革。</w:t>
      </w:r>
    </w:p>
    <w:p w14:paraId="302A6870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4EBBAB19">
      <w:pPr>
        <w:pStyle w:val="2"/>
        <w:spacing w:before="219" w:line="411" w:lineRule="auto"/>
        <w:ind w:left="132" w:right="77" w:hanging="14"/>
      </w:pPr>
      <w:r>
        <w:rPr>
          <w:spacing w:val="-1"/>
        </w:rPr>
        <w:t>【详解】本题为开放性试题，要求在阅读材料的基础上，评析</w:t>
      </w:r>
      <w:r>
        <w:rPr>
          <w:spacing w:val="-32"/>
        </w:rPr>
        <w:t xml:space="preserve"> </w:t>
      </w:r>
      <w:r>
        <w:rPr>
          <w:spacing w:val="-1"/>
        </w:rPr>
        <w:t>20</w:t>
      </w:r>
      <w:r>
        <w:rPr>
          <w:spacing w:val="-45"/>
        </w:rPr>
        <w:t xml:space="preserve"> </w:t>
      </w:r>
      <w:r>
        <w:rPr>
          <w:spacing w:val="-1"/>
        </w:rPr>
        <w:t>世纪初西方现代工业设计风格的兴起，并结合所学知识进行论证，可以按照以下步骤分析作答：</w:t>
      </w:r>
    </w:p>
    <w:p w14:paraId="4736E402">
      <w:pPr>
        <w:pStyle w:val="2"/>
        <w:spacing w:before="1" w:line="218" w:lineRule="auto"/>
        <w:ind w:left="128"/>
      </w:pPr>
      <w:r>
        <w:rPr>
          <w:spacing w:val="-3"/>
        </w:rPr>
        <w:t>第一步：根据材料“洗脸台，约</w:t>
      </w:r>
      <w:r>
        <w:rPr>
          <w:spacing w:val="-26"/>
        </w:rPr>
        <w:t xml:space="preserve"> </w:t>
      </w:r>
      <w:r>
        <w:rPr>
          <w:spacing w:val="-3"/>
        </w:rPr>
        <w:t>1745—1749</w:t>
      </w:r>
      <w:r>
        <w:rPr>
          <w:spacing w:val="-44"/>
        </w:rPr>
        <w:t xml:space="preserve"> </w:t>
      </w:r>
      <w:r>
        <w:rPr>
          <w:spacing w:val="-3"/>
        </w:rPr>
        <w:t>年，法国，松木和橡木饰面，镶嵌珍珠母和象牙。”“椅子，</w:t>
      </w:r>
    </w:p>
    <w:p w14:paraId="2330DBAE">
      <w:pPr>
        <w:pStyle w:val="2"/>
        <w:spacing w:before="220" w:line="219" w:lineRule="auto"/>
        <w:ind w:left="4236"/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163195</wp:posOffset>
            </wp:positionV>
            <wp:extent cx="9525" cy="9525"/>
            <wp:effectExtent l="0" t="0" r="0" b="0"/>
            <wp:wrapNone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14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</w:p>
    <w:p w14:paraId="2F3D4627">
      <w:pPr>
        <w:spacing w:line="219" w:lineRule="auto"/>
        <w:sectPr>
          <w:pgSz w:w="11900" w:h="16839"/>
          <w:pgMar w:top="400" w:right="996" w:bottom="0" w:left="960" w:header="0" w:footer="0" w:gutter="0"/>
          <w:cols w:space="720" w:num="1"/>
        </w:sectPr>
      </w:pPr>
    </w:p>
    <w:p w14:paraId="53F52D2A">
      <w:pPr>
        <w:spacing w:line="244" w:lineRule="auto"/>
        <w:rPr>
          <w:rFonts w:ascii="Arial"/>
          <w:sz w:val="21"/>
        </w:rPr>
      </w:pPr>
    </w:p>
    <w:p w14:paraId="1EE9C950">
      <w:pPr>
        <w:spacing w:line="245" w:lineRule="auto"/>
        <w:rPr>
          <w:rFonts w:ascii="Arial"/>
          <w:sz w:val="21"/>
        </w:rPr>
      </w:pPr>
    </w:p>
    <w:p w14:paraId="5C9FBDAC">
      <w:pPr>
        <w:spacing w:line="375" w:lineRule="exact"/>
        <w:ind w:firstLine="1320"/>
      </w:pPr>
      <w:bookmarkStart w:id="0" w:name="_GoBack"/>
      <w:bookmarkEnd w:id="0"/>
    </w:p>
    <w:p w14:paraId="784F976F">
      <w:pPr>
        <w:pStyle w:val="2"/>
        <w:spacing w:before="185" w:line="411" w:lineRule="auto"/>
        <w:ind w:left="8" w:firstLine="15"/>
        <w:jc w:val="both"/>
      </w:pPr>
      <w:r>
        <w:rPr>
          <w:spacing w:val="-3"/>
        </w:rPr>
        <w:t>1925</w:t>
      </w:r>
      <w:r>
        <w:rPr>
          <w:spacing w:val="-43"/>
        </w:rPr>
        <w:t xml:space="preserve"> </w:t>
      </w:r>
      <w:r>
        <w:rPr>
          <w:spacing w:val="-3"/>
        </w:rPr>
        <w:t>年，德国，框架由镀镍钢管制成，椅背为织物。”“</w:t>
      </w:r>
      <w:r>
        <w:rPr>
          <w:spacing w:val="-81"/>
        </w:rPr>
        <w:t xml:space="preserve"> </w:t>
      </w:r>
      <w:r>
        <w:rPr>
          <w:spacing w:val="-4"/>
        </w:rPr>
        <w:t>台灯，1928</w:t>
      </w:r>
      <w:r>
        <w:rPr>
          <w:spacing w:val="-43"/>
        </w:rPr>
        <w:t xml:space="preserve"> </w:t>
      </w:r>
      <w:r>
        <w:rPr>
          <w:spacing w:val="-4"/>
        </w:rPr>
        <w:t>年，德国，有可旋转支架，可调节灯光照射角度。”及所学两次工业革命的内容可知，20</w:t>
      </w:r>
      <w:r>
        <w:rPr>
          <w:spacing w:val="-47"/>
        </w:rPr>
        <w:t xml:space="preserve"> </w:t>
      </w:r>
      <w:r>
        <w:rPr>
          <w:spacing w:val="-4"/>
        </w:rPr>
        <w:t>世纪初西方现代工业设计风格的兴起，是工业革命推动</w:t>
      </w:r>
      <w:r>
        <w:t>下技术革新、社会需求变迁与艺术思潮变革共同作用的产物，它以功能主义为核心</w:t>
      </w:r>
      <w:r>
        <w:rPr>
          <w:spacing w:val="-1"/>
        </w:rPr>
        <w:t>，完成了从传统贵族化</w:t>
      </w:r>
      <w:r>
        <w:t>装饰设计向现代大众化实用设计的转型，对现代设计</w:t>
      </w:r>
      <w:r>
        <w:rPr>
          <w:spacing w:val="-1"/>
        </w:rPr>
        <w:t>体系具有奠基性意义。</w:t>
      </w:r>
    </w:p>
    <w:p w14:paraId="5AC0842D">
      <w:pPr>
        <w:pStyle w:val="2"/>
        <w:spacing w:before="1" w:line="411" w:lineRule="auto"/>
        <w:ind w:left="8" w:right="11"/>
        <w:jc w:val="both"/>
      </w:pPr>
      <w:r>
        <w:rPr>
          <w:spacing w:val="-1"/>
        </w:rPr>
        <w:t>第二步：对</w:t>
      </w:r>
      <w:r>
        <w:rPr>
          <w:spacing w:val="-42"/>
        </w:rPr>
        <w:t xml:space="preserve"> </w:t>
      </w:r>
      <w:r>
        <w:rPr>
          <w:spacing w:val="-1"/>
        </w:rPr>
        <w:t>20</w:t>
      </w:r>
      <w:r>
        <w:rPr>
          <w:spacing w:val="-44"/>
        </w:rPr>
        <w:t xml:space="preserve"> </w:t>
      </w:r>
      <w:r>
        <w:rPr>
          <w:spacing w:val="-1"/>
        </w:rPr>
        <w:t>世纪初西方现代工业设计风格进行论证，注意史实准确、史论结</w:t>
      </w:r>
      <w:r>
        <w:rPr>
          <w:spacing w:val="-2"/>
        </w:rPr>
        <w:t>合、论证充分、表达清晰。</w:t>
      </w:r>
      <w:r>
        <w:t>关于论证可从工业化进程推动设计风格变革、社会结构变化催生新的设计需求、</w:t>
      </w:r>
      <w:r>
        <w:rPr>
          <w:spacing w:val="-1"/>
        </w:rPr>
        <w:t>艺术理念革新引领设计潮流、现代工业设计风格的影响等角度进行分析。</w:t>
      </w:r>
    </w:p>
    <w:p w14:paraId="3FFD11E9">
      <w:pPr>
        <w:pStyle w:val="2"/>
        <w:spacing w:line="413" w:lineRule="auto"/>
        <w:ind w:left="9" w:right="85" w:hanging="1"/>
      </w:pPr>
      <w:r>
        <w:t>第三步：在充分论证的基础上，进行一定的总结提升。认识西方现代工业设计风格</w:t>
      </w:r>
      <w:r>
        <w:rPr>
          <w:spacing w:val="-1"/>
        </w:rPr>
        <w:t>以功能主义为核心，实</w:t>
      </w:r>
      <w:r>
        <w:t>现了设计从传统装饰性向现代实用性的转型，具有鲜明的时代进步性，同</w:t>
      </w:r>
      <w:r>
        <w:rPr>
          <w:spacing w:val="-1"/>
        </w:rPr>
        <w:t>时也存在一定的局限性。</w:t>
      </w:r>
    </w:p>
    <w:p w14:paraId="610EC1D3">
      <w:pPr>
        <w:spacing w:line="245" w:lineRule="auto"/>
        <w:rPr>
          <w:rFonts w:ascii="Arial"/>
          <w:sz w:val="21"/>
        </w:rPr>
      </w:pPr>
    </w:p>
    <w:p w14:paraId="7B7804F7">
      <w:pPr>
        <w:spacing w:line="245" w:lineRule="auto"/>
        <w:rPr>
          <w:rFonts w:ascii="Arial"/>
          <w:sz w:val="21"/>
        </w:rPr>
      </w:pPr>
    </w:p>
    <w:p w14:paraId="33939373">
      <w:pPr>
        <w:spacing w:line="245" w:lineRule="auto"/>
        <w:rPr>
          <w:rFonts w:ascii="Arial"/>
          <w:sz w:val="21"/>
        </w:rPr>
      </w:pPr>
    </w:p>
    <w:p w14:paraId="4604710E">
      <w:pPr>
        <w:spacing w:line="245" w:lineRule="auto"/>
        <w:rPr>
          <w:rFonts w:ascii="Arial"/>
          <w:sz w:val="21"/>
        </w:rPr>
      </w:pPr>
    </w:p>
    <w:p w14:paraId="7F957684">
      <w:pPr>
        <w:spacing w:line="245" w:lineRule="auto"/>
        <w:rPr>
          <w:rFonts w:ascii="Arial"/>
          <w:sz w:val="21"/>
        </w:rPr>
      </w:pPr>
    </w:p>
    <w:p w14:paraId="6A74631D">
      <w:pPr>
        <w:spacing w:line="245" w:lineRule="auto"/>
        <w:rPr>
          <w:rFonts w:ascii="Arial"/>
          <w:sz w:val="21"/>
        </w:rPr>
      </w:pPr>
    </w:p>
    <w:p w14:paraId="0A356314">
      <w:pPr>
        <w:spacing w:line="245" w:lineRule="auto"/>
        <w:rPr>
          <w:rFonts w:ascii="Arial"/>
          <w:sz w:val="21"/>
        </w:rPr>
      </w:pPr>
    </w:p>
    <w:p w14:paraId="28399AC6">
      <w:pPr>
        <w:spacing w:line="245" w:lineRule="auto"/>
        <w:rPr>
          <w:rFonts w:ascii="Arial"/>
          <w:sz w:val="21"/>
        </w:rPr>
      </w:pPr>
    </w:p>
    <w:p w14:paraId="42ECF47A">
      <w:pPr>
        <w:spacing w:line="245" w:lineRule="auto"/>
        <w:rPr>
          <w:rFonts w:ascii="Arial"/>
          <w:sz w:val="21"/>
        </w:rPr>
      </w:pPr>
    </w:p>
    <w:p w14:paraId="1FDF4B66">
      <w:pPr>
        <w:spacing w:line="245" w:lineRule="auto"/>
        <w:rPr>
          <w:rFonts w:ascii="Arial"/>
          <w:sz w:val="21"/>
        </w:rPr>
      </w:pPr>
    </w:p>
    <w:p w14:paraId="5A6D2FE6">
      <w:pPr>
        <w:spacing w:line="245" w:lineRule="auto"/>
        <w:rPr>
          <w:rFonts w:ascii="Arial"/>
          <w:sz w:val="21"/>
        </w:rPr>
      </w:pPr>
    </w:p>
    <w:p w14:paraId="5F9D5559">
      <w:pPr>
        <w:spacing w:line="245" w:lineRule="auto"/>
        <w:rPr>
          <w:rFonts w:ascii="Arial"/>
          <w:sz w:val="21"/>
        </w:rPr>
      </w:pPr>
    </w:p>
    <w:p w14:paraId="7B81CFD4">
      <w:pPr>
        <w:spacing w:line="245" w:lineRule="auto"/>
        <w:rPr>
          <w:rFonts w:ascii="Arial"/>
          <w:sz w:val="21"/>
        </w:rPr>
      </w:pPr>
    </w:p>
    <w:p w14:paraId="10B6E5CE">
      <w:pPr>
        <w:spacing w:line="245" w:lineRule="auto"/>
        <w:rPr>
          <w:rFonts w:ascii="Arial"/>
          <w:sz w:val="21"/>
        </w:rPr>
      </w:pPr>
    </w:p>
    <w:p w14:paraId="3B8F62ED">
      <w:pPr>
        <w:spacing w:line="245" w:lineRule="auto"/>
        <w:rPr>
          <w:rFonts w:ascii="Arial"/>
          <w:sz w:val="21"/>
        </w:rPr>
      </w:pPr>
    </w:p>
    <w:p w14:paraId="54938B98">
      <w:pPr>
        <w:spacing w:line="245" w:lineRule="auto"/>
        <w:rPr>
          <w:rFonts w:ascii="Arial"/>
          <w:sz w:val="21"/>
        </w:rPr>
      </w:pPr>
    </w:p>
    <w:p w14:paraId="36D3ACB2">
      <w:pPr>
        <w:spacing w:line="245" w:lineRule="auto"/>
        <w:rPr>
          <w:rFonts w:ascii="Arial"/>
          <w:sz w:val="21"/>
        </w:rPr>
      </w:pPr>
    </w:p>
    <w:p w14:paraId="1393EC54">
      <w:pPr>
        <w:spacing w:line="245" w:lineRule="auto"/>
        <w:rPr>
          <w:rFonts w:ascii="Arial"/>
          <w:sz w:val="21"/>
        </w:rPr>
      </w:pPr>
    </w:p>
    <w:p w14:paraId="73E8C272">
      <w:pPr>
        <w:spacing w:line="245" w:lineRule="auto"/>
        <w:rPr>
          <w:rFonts w:ascii="Arial"/>
          <w:sz w:val="21"/>
        </w:rPr>
      </w:pPr>
    </w:p>
    <w:p w14:paraId="10F10392">
      <w:pPr>
        <w:spacing w:line="246" w:lineRule="auto"/>
        <w:rPr>
          <w:rFonts w:ascii="Arial"/>
          <w:sz w:val="21"/>
        </w:rPr>
      </w:pPr>
    </w:p>
    <w:p w14:paraId="551CEFF4">
      <w:pPr>
        <w:spacing w:line="246" w:lineRule="auto"/>
        <w:rPr>
          <w:rFonts w:ascii="Arial"/>
          <w:sz w:val="21"/>
        </w:rPr>
      </w:pPr>
    </w:p>
    <w:p w14:paraId="64890542">
      <w:pPr>
        <w:spacing w:line="246" w:lineRule="auto"/>
        <w:rPr>
          <w:rFonts w:ascii="Arial"/>
          <w:sz w:val="21"/>
        </w:rPr>
      </w:pPr>
    </w:p>
    <w:p w14:paraId="0E3D4896">
      <w:pPr>
        <w:spacing w:line="246" w:lineRule="auto"/>
        <w:rPr>
          <w:rFonts w:ascii="Arial"/>
          <w:sz w:val="21"/>
        </w:rPr>
      </w:pPr>
    </w:p>
    <w:p w14:paraId="2042B81F">
      <w:pPr>
        <w:spacing w:line="246" w:lineRule="auto"/>
        <w:rPr>
          <w:rFonts w:ascii="Arial"/>
          <w:sz w:val="21"/>
        </w:rPr>
      </w:pPr>
    </w:p>
    <w:p w14:paraId="28EB17EC">
      <w:pPr>
        <w:spacing w:line="246" w:lineRule="auto"/>
        <w:rPr>
          <w:rFonts w:ascii="Arial"/>
          <w:sz w:val="21"/>
        </w:rPr>
      </w:pPr>
    </w:p>
    <w:p w14:paraId="471C74C3">
      <w:pPr>
        <w:spacing w:line="246" w:lineRule="auto"/>
        <w:rPr>
          <w:rFonts w:ascii="Arial"/>
          <w:sz w:val="21"/>
        </w:rPr>
      </w:pPr>
    </w:p>
    <w:p w14:paraId="70115513">
      <w:pPr>
        <w:spacing w:line="246" w:lineRule="auto"/>
        <w:rPr>
          <w:rFonts w:ascii="Arial"/>
          <w:sz w:val="21"/>
        </w:rPr>
      </w:pPr>
    </w:p>
    <w:p w14:paraId="379D1FFC">
      <w:pPr>
        <w:spacing w:line="246" w:lineRule="auto"/>
        <w:rPr>
          <w:rFonts w:ascii="Arial"/>
          <w:sz w:val="21"/>
        </w:rPr>
      </w:pPr>
    </w:p>
    <w:p w14:paraId="61B5238C">
      <w:pPr>
        <w:spacing w:line="246" w:lineRule="auto"/>
        <w:rPr>
          <w:rFonts w:ascii="Arial"/>
          <w:sz w:val="21"/>
        </w:rPr>
      </w:pPr>
    </w:p>
    <w:p w14:paraId="15818301">
      <w:pPr>
        <w:spacing w:line="246" w:lineRule="auto"/>
        <w:rPr>
          <w:rFonts w:ascii="Arial"/>
          <w:sz w:val="21"/>
        </w:rPr>
      </w:pPr>
    </w:p>
    <w:p w14:paraId="3BA6D220">
      <w:pPr>
        <w:spacing w:line="246" w:lineRule="auto"/>
        <w:rPr>
          <w:rFonts w:ascii="Arial"/>
          <w:sz w:val="21"/>
        </w:rPr>
      </w:pPr>
    </w:p>
    <w:p w14:paraId="3E699251">
      <w:pPr>
        <w:spacing w:line="246" w:lineRule="auto"/>
        <w:rPr>
          <w:rFonts w:ascii="Arial"/>
          <w:sz w:val="21"/>
        </w:rPr>
      </w:pPr>
    </w:p>
    <w:p w14:paraId="3FC4191B">
      <w:pPr>
        <w:spacing w:line="246" w:lineRule="auto"/>
        <w:rPr>
          <w:rFonts w:ascii="Arial"/>
          <w:sz w:val="21"/>
        </w:rPr>
      </w:pPr>
    </w:p>
    <w:p w14:paraId="6FE7D273">
      <w:pPr>
        <w:spacing w:line="246" w:lineRule="auto"/>
        <w:rPr>
          <w:rFonts w:ascii="Arial"/>
          <w:sz w:val="21"/>
        </w:rPr>
      </w:pPr>
    </w:p>
    <w:p w14:paraId="76384B28">
      <w:pPr>
        <w:spacing w:line="246" w:lineRule="auto"/>
        <w:rPr>
          <w:rFonts w:ascii="Arial"/>
          <w:sz w:val="21"/>
        </w:rPr>
      </w:pPr>
    </w:p>
    <w:p w14:paraId="535229B8">
      <w:pPr>
        <w:spacing w:line="246" w:lineRule="auto"/>
        <w:rPr>
          <w:rFonts w:ascii="Arial"/>
          <w:sz w:val="21"/>
        </w:rPr>
      </w:pPr>
    </w:p>
    <w:p w14:paraId="192937EF">
      <w:pPr>
        <w:spacing w:line="246" w:lineRule="auto"/>
        <w:rPr>
          <w:rFonts w:ascii="Arial"/>
          <w:sz w:val="21"/>
        </w:rPr>
      </w:pPr>
    </w:p>
    <w:p w14:paraId="66784DB0">
      <w:pPr>
        <w:spacing w:line="246" w:lineRule="auto"/>
        <w:rPr>
          <w:rFonts w:ascii="Arial"/>
          <w:sz w:val="21"/>
        </w:rPr>
      </w:pPr>
    </w:p>
    <w:p w14:paraId="07B5C6EF">
      <w:pPr>
        <w:spacing w:line="246" w:lineRule="auto"/>
        <w:rPr>
          <w:rFonts w:ascii="Arial"/>
          <w:sz w:val="21"/>
        </w:rPr>
      </w:pPr>
    </w:p>
    <w:p w14:paraId="271487DB">
      <w:pPr>
        <w:pStyle w:val="2"/>
        <w:spacing w:before="68" w:line="219" w:lineRule="auto"/>
        <w:ind w:left="4116"/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809625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</w:p>
    <w:sectPr>
      <w:pgSz w:w="11900" w:h="16839"/>
      <w:pgMar w:top="400" w:right="1073" w:bottom="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231B3">
    <w:pPr>
      <w:pStyle w:val="3"/>
      <w:rPr>
        <w:rFonts w:hint="eastAsia" w:eastAsia="宋体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9E9C7">
    <w:pPr>
      <w:pBdr>
        <w:bottom w:val="none" w:color="auto" w:sz="0" w:space="0"/>
      </w:pBdr>
      <w:spacing w:line="14" w:lineRule="auto"/>
      <w:rPr>
        <w:rFonts w:hint="eastAsia" w:ascii="Arial" w:eastAsia="宋体"/>
        <w:sz w:val="2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40971">
    <w:pPr>
      <w:pBdr>
        <w:bottom w:val="none" w:color="auto" w:sz="0" w:space="0"/>
      </w:pBdr>
      <w:spacing w:line="14" w:lineRule="auto"/>
      <w:rPr>
        <w:rFonts w:hint="eastAsia" w:ascii="Arial" w:eastAsia="宋体"/>
        <w:sz w:val="2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8FF25E8"/>
    <w:rsid w:val="79044E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8820"/>
      </w:tabs>
      <w:spacing w:line="400" w:lineRule="exact"/>
      <w:ind w:left="-600" w:leftChars="-300" w:right="-600" w:rightChars="-300" w:firstLine="0" w:firstLineChars="0"/>
      <w:jc w:val="center"/>
    </w:pPr>
    <w:rPr>
      <w:rFonts w:ascii="Arial" w:hAnsi="Arial"/>
      <w:sz w:val="21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6.jpeg"/><Relationship Id="rId13" Type="http://schemas.openxmlformats.org/officeDocument/2006/relationships/image" Target="media/image5.jpeg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10689</Words>
  <Characters>10973</Characters>
  <TotalTime>1</TotalTime>
  <ScaleCrop>false</ScaleCrop>
  <LinksUpToDate>false</LinksUpToDate>
  <CharactersWithSpaces>12253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2026-06-12T15:26:00Z</dcterms:created>
  <dc:creator>1</dc:creator>
  <cp:lastModifiedBy>王道楷</cp:lastModifiedBy>
  <dcterms:modified xsi:type="dcterms:W3CDTF">2026-06-12T09:54:14Z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2026-06-12T15:26:17Z</vt:filetime>
  </property>
  <property fmtid="{D5CDD505-2E9C-101B-9397-08002B2CF9AE}" pid="4" name="KSOTemplateDocerSaveRecord">
    <vt:lpwstr>eyJoZGlkIjoiMzljNjc1NGYxNjVlNjI1YTg1MWIzZmQ3ZDZmYjI3OGEiLCJ1c2VySWQiOiI4MjY4ODYxOTQifQ==</vt:lpwstr>
  </property>
  <property fmtid="{D5CDD505-2E9C-101B-9397-08002B2CF9AE}" pid="5" name="KSOProductBuildVer">
    <vt:lpwstr>2052-12.1.0.26895</vt:lpwstr>
  </property>
  <property fmtid="{D5CDD505-2E9C-101B-9397-08002B2CF9AE}" pid="6" name="ICV">
    <vt:lpwstr>8DA230C12FB94271BF101D1BD67E0A77_12</vt:lpwstr>
  </property>
</Properties>
</file>