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2A656">
      <w:pPr>
        <w:spacing w:line="244" w:lineRule="auto"/>
        <w:rPr>
          <w:rFonts w:ascii="Arial"/>
          <w:sz w:val="21"/>
        </w:rPr>
      </w:pPr>
    </w:p>
    <w:p w14:paraId="5EDEAF95">
      <w:pPr>
        <w:spacing w:line="245" w:lineRule="auto"/>
        <w:rPr>
          <w:rFonts w:ascii="Arial"/>
          <w:sz w:val="21"/>
        </w:rPr>
      </w:pPr>
    </w:p>
    <w:p w14:paraId="72B7A442">
      <w:pPr>
        <w:spacing w:line="375" w:lineRule="exact"/>
        <w:ind w:firstLine="1440"/>
      </w:pPr>
    </w:p>
    <w:p w14:paraId="403D3037">
      <w:pPr>
        <w:pStyle w:val="2"/>
        <w:spacing w:before="210" w:line="222" w:lineRule="auto"/>
        <w:ind w:left="1883"/>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4533900</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533900"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7pt;margin-top:10.15pt;height:0.75pt;width:0.75pt;z-index:-251657216;mso-width-relative:page;mso-height-relative:page;" fillcolor="#211D0A" filled="t" stroked="f" coordsize="21600,21600" o:gfxdata="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nD5Wj2QAAAAkBAAAPAAAAAAAAAAEAIAAAACIAAABkcnMv&#10;ZG93bnJldi54bWxQSwECFAAUAAAACACHTuJAvDXZmjsCAACJBAAADgAAAAAAAAABACAAAAAoAQAA&#10;ZHJzL2Uyb0RvYy54bWxQSwUGAAAAAAYABgBZAQAA1QUAAAAA&#10;">
                <v:fill on="t" opacity="27498f" focussize="0,0"/>
                <v:stroke on="f" weight="0pt"/>
                <v:imagedata o:title=""/>
                <o:lock v:ext="edit" aspectratio="f"/>
                <v:textbox inset="0mm,0mm,0mm,0mm"/>
              </v:rect>
            </w:pict>
          </mc:Fallback>
        </mc:AlternateContent>
      </w:r>
      <w:r>
        <w:rPr>
          <w:spacing w:val="11"/>
          <w:sz w:val="31"/>
          <w:szCs w:val="31"/>
        </w:rPr>
        <w:t>湖南省</w:t>
      </w:r>
      <w:r>
        <w:rPr>
          <w:rFonts w:ascii="Times New Roman" w:hAnsi="Times New Roman" w:eastAsia="Times New Roman" w:cs="Times New Roman"/>
          <w:b/>
          <w:bCs/>
          <w:spacing w:val="11"/>
          <w:sz w:val="31"/>
          <w:szCs w:val="31"/>
        </w:rPr>
        <w:t xml:space="preserve">2026 </w:t>
      </w:r>
      <w:r>
        <w:rPr>
          <w:spacing w:val="11"/>
          <w:sz w:val="31"/>
          <w:szCs w:val="31"/>
        </w:rPr>
        <w:t>年普通高中学业水平选择性考试</w:t>
      </w:r>
    </w:p>
    <w:p w14:paraId="0EBDE60B">
      <w:pPr>
        <w:pStyle w:val="2"/>
        <w:spacing w:before="250" w:line="224" w:lineRule="auto"/>
        <w:ind w:left="4375"/>
        <w:rPr>
          <w:sz w:val="31"/>
          <w:szCs w:val="31"/>
        </w:rPr>
      </w:pPr>
      <w:r>
        <w:rPr>
          <w:spacing w:val="3"/>
          <w:sz w:val="31"/>
          <w:szCs w:val="31"/>
        </w:rPr>
        <w:t>思想政治</w:t>
      </w:r>
    </w:p>
    <w:p w14:paraId="463D9D38">
      <w:pPr>
        <w:pStyle w:val="2"/>
        <w:spacing w:before="205" w:line="362" w:lineRule="auto"/>
        <w:ind w:left="133" w:right="232"/>
        <w:rPr>
          <w:sz w:val="24"/>
          <w:szCs w:val="24"/>
        </w:rPr>
      </w:pPr>
      <w:r>
        <w:rPr>
          <w:sz w:val="24"/>
          <w:szCs w:val="24"/>
        </w:rPr>
        <w:t>一、选择题：本题共</w:t>
      </w:r>
      <w:r>
        <w:rPr>
          <w:spacing w:val="-41"/>
          <w:sz w:val="24"/>
          <w:szCs w:val="24"/>
        </w:rPr>
        <w:t xml:space="preserve"> </w:t>
      </w:r>
      <w:r>
        <w:rPr>
          <w:rFonts w:ascii="Times New Roman" w:hAnsi="Times New Roman" w:eastAsia="Times New Roman" w:cs="Times New Roman"/>
          <w:b/>
          <w:bCs/>
          <w:sz w:val="24"/>
          <w:szCs w:val="24"/>
        </w:rPr>
        <w:t xml:space="preserve">16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48 </w:t>
      </w:r>
      <w:r>
        <w:rPr>
          <w:sz w:val="24"/>
          <w:szCs w:val="24"/>
        </w:rPr>
        <w:t>分。在每小题给出的四个选项中，只有一</w:t>
      </w:r>
      <w:r>
        <w:rPr>
          <w:spacing w:val="-2"/>
          <w:sz w:val="24"/>
          <w:szCs w:val="24"/>
        </w:rPr>
        <w:t>项是符合题目要求的。</w:t>
      </w:r>
    </w:p>
    <w:p w14:paraId="51630298">
      <w:pPr>
        <w:pStyle w:val="2"/>
        <w:spacing w:before="11" w:line="315" w:lineRule="auto"/>
        <w:ind w:left="133" w:right="129" w:firstLine="11"/>
      </w:pPr>
      <w:r>
        <w:rPr>
          <w:rFonts w:ascii="Times New Roman" w:hAnsi="Times New Roman" w:eastAsia="Times New Roman" w:cs="Times New Roman"/>
          <w:spacing w:val="-4"/>
        </w:rPr>
        <w:t xml:space="preserve">1.  </w:t>
      </w:r>
      <w:r>
        <w:rPr>
          <w:spacing w:val="-4"/>
        </w:rPr>
        <w:t>马克思、恩格斯在《德意志意识形态》中写道：“人们每次都不是在他们关于人的理想所规定和所</w:t>
      </w:r>
      <w:r>
        <w:rPr>
          <w:spacing w:val="-5"/>
        </w:rPr>
        <w:t>容许的</w:t>
      </w:r>
      <w:r>
        <w:rPr>
          <w:spacing w:val="-2"/>
        </w:rPr>
        <w:t>范围之内，而是在现有的生产力所规定和所容许的范围之内取得自由的。”对此理解正确的是 (   )</w:t>
      </w:r>
    </w:p>
    <w:p w14:paraId="2E2FB168">
      <w:pPr>
        <w:pStyle w:val="2"/>
        <w:spacing w:before="219" w:line="219" w:lineRule="auto"/>
        <w:ind w:left="121"/>
      </w:pPr>
      <w:r>
        <w:rPr>
          <w:rFonts w:ascii="Times New Roman" w:hAnsi="Times New Roman" w:eastAsia="Times New Roman" w:cs="Times New Roman"/>
        </w:rPr>
        <w:t xml:space="preserve">A.  </w:t>
      </w:r>
      <w:r>
        <w:t>人类从必然王国向自由王国飞跃没有明确</w:t>
      </w:r>
      <w:r>
        <w:rPr>
          <w:spacing w:val="-1"/>
        </w:rPr>
        <w:t>的途径</w:t>
      </w:r>
    </w:p>
    <w:p w14:paraId="2997BD7E">
      <w:pPr>
        <w:pStyle w:val="2"/>
        <w:spacing w:before="218" w:line="219" w:lineRule="auto"/>
        <w:ind w:left="123"/>
      </w:pPr>
      <w:r>
        <w:rPr>
          <w:rFonts w:ascii="Times New Roman" w:hAnsi="Times New Roman" w:eastAsia="Times New Roman" w:cs="Times New Roman"/>
        </w:rPr>
        <w:t xml:space="preserve">B.  </w:t>
      </w:r>
      <w:r>
        <w:t>人的理想与社会生产的矛盾是社会发展</w:t>
      </w:r>
      <w:r>
        <w:rPr>
          <w:spacing w:val="-1"/>
        </w:rPr>
        <w:t>的基本动力</w:t>
      </w:r>
    </w:p>
    <w:p w14:paraId="0E14FC53">
      <w:pPr>
        <w:pStyle w:val="2"/>
        <w:spacing w:before="219" w:line="219" w:lineRule="auto"/>
        <w:ind w:left="127"/>
      </w:pPr>
      <w:r>
        <w:rPr>
          <w:rFonts w:ascii="Times New Roman" w:hAnsi="Times New Roman" w:eastAsia="Times New Roman" w:cs="Times New Roman"/>
          <w:spacing w:val="-1"/>
        </w:rPr>
        <w:t xml:space="preserve">C.  </w:t>
      </w:r>
      <w:r>
        <w:rPr>
          <w:spacing w:val="-1"/>
        </w:rPr>
        <w:t>世界范围内人的自由全面发展呈现相同的历史轨迹</w:t>
      </w:r>
    </w:p>
    <w:p w14:paraId="04C9E68C">
      <w:pPr>
        <w:pStyle w:val="2"/>
        <w:spacing w:before="218" w:line="316" w:lineRule="auto"/>
        <w:ind w:left="118" w:right="4946" w:firstLine="5"/>
        <w:rPr>
          <w:rFonts w:ascii="Times New Roman" w:hAnsi="Times New Roman" w:eastAsia="Times New Roman" w:cs="Times New Roman"/>
        </w:rPr>
      </w:pPr>
      <w:r>
        <w:rPr>
          <w:rFonts w:ascii="Times New Roman" w:hAnsi="Times New Roman" w:eastAsia="Times New Roman" w:cs="Times New Roman"/>
        </w:rPr>
        <w:t xml:space="preserve">D.  </w:t>
      </w:r>
      <w:r>
        <w:t>发展社会生产力是人类实现自由和解放</w:t>
      </w:r>
      <w:r>
        <w:rPr>
          <w:spacing w:val="-1"/>
        </w:rPr>
        <w:t>的必要条件</w:t>
      </w:r>
      <w:r>
        <w:rPr>
          <w:color w:val="2E75B6"/>
          <w:spacing w:val="1"/>
        </w:rPr>
        <w:t>【答案】</w:t>
      </w:r>
      <w:r>
        <w:rPr>
          <w:rFonts w:ascii="Times New Roman" w:hAnsi="Times New Roman" w:eastAsia="Times New Roman" w:cs="Times New Roman"/>
          <w:spacing w:val="1"/>
        </w:rPr>
        <w:t>D</w:t>
      </w:r>
    </w:p>
    <w:p w14:paraId="6AB2D060">
      <w:pPr>
        <w:pStyle w:val="2"/>
        <w:spacing w:before="218" w:line="220" w:lineRule="auto"/>
        <w:ind w:left="118"/>
      </w:pPr>
      <w:r>
        <w:rPr>
          <w:color w:val="2E75B6"/>
        </w:rPr>
        <w:t>【解析】</w:t>
      </w:r>
    </w:p>
    <w:p w14:paraId="59CC0EEB">
      <w:pPr>
        <w:pStyle w:val="2"/>
        <w:spacing w:before="214" w:line="219" w:lineRule="auto"/>
        <w:ind w:left="118"/>
      </w:pPr>
      <w:r>
        <w:t>【详解】</w:t>
      </w:r>
      <w:r>
        <w:rPr>
          <w:rFonts w:ascii="Times New Roman" w:hAnsi="Times New Roman" w:eastAsia="Times New Roman" w:cs="Times New Roman"/>
        </w:rPr>
        <w:t>A</w:t>
      </w:r>
      <w:r>
        <w:t>：人类从必然王国向自由王国飞跃的现实途径是大力发展生产力，错误。</w:t>
      </w:r>
    </w:p>
    <w:p w14:paraId="540FE7AB">
      <w:pPr>
        <w:pStyle w:val="2"/>
        <w:spacing w:before="218" w:line="317" w:lineRule="auto"/>
        <w:ind w:left="127" w:right="129" w:hanging="4"/>
      </w:pPr>
      <w:r>
        <w:rPr>
          <w:rFonts w:ascii="Times New Roman" w:hAnsi="Times New Roman" w:eastAsia="Times New Roman" w:cs="Times New Roman"/>
          <w:spacing w:val="-1"/>
        </w:rPr>
        <w:t>B</w:t>
      </w:r>
      <w:r>
        <w:rPr>
          <w:spacing w:val="-1"/>
        </w:rPr>
        <w:t>：社会发展的基本动力是生产力与生产关系、经济基础与上层建筑的矛盾，并</w:t>
      </w:r>
      <w:r>
        <w:rPr>
          <w:spacing w:val="-2"/>
        </w:rPr>
        <w:t>非人的理想与社会生产的矛盾，错误。</w:t>
      </w:r>
    </w:p>
    <w:p w14:paraId="1EFD6907">
      <w:pPr>
        <w:pStyle w:val="2"/>
        <w:spacing w:before="215" w:line="318" w:lineRule="auto"/>
        <w:ind w:left="148" w:right="129" w:hanging="21"/>
      </w:pPr>
      <w:r>
        <w:rPr>
          <w:rFonts w:ascii="Times New Roman" w:hAnsi="Times New Roman" w:eastAsia="Times New Roman" w:cs="Times New Roman"/>
          <w:spacing w:val="-1"/>
        </w:rPr>
        <w:t>C</w:t>
      </w:r>
      <w:r>
        <w:rPr>
          <w:spacing w:val="-1"/>
        </w:rPr>
        <w:t>：不同国家和地区的生产力发展水平具有差异性，人的自由全面发展</w:t>
      </w:r>
      <w:r>
        <w:rPr>
          <w:spacing w:val="-2"/>
        </w:rPr>
        <w:t>的历史轨迹会存在差异，并非完全相</w:t>
      </w:r>
      <w:r>
        <w:rPr>
          <w:spacing w:val="-6"/>
        </w:rPr>
        <w:t>同，错误。</w:t>
      </w:r>
    </w:p>
    <w:p w14:paraId="227CA3C6">
      <w:pPr>
        <w:pStyle w:val="2"/>
        <w:spacing w:before="213" w:line="317" w:lineRule="auto"/>
        <w:ind w:left="132" w:right="129" w:hanging="9"/>
      </w:pPr>
      <w:r>
        <w:rPr>
          <w:rFonts w:ascii="Times New Roman" w:hAnsi="Times New Roman" w:eastAsia="Times New Roman" w:cs="Times New Roman"/>
          <w:spacing w:val="-1"/>
        </w:rPr>
        <w:t>D</w:t>
      </w:r>
      <w:r>
        <w:rPr>
          <w:spacing w:val="-1"/>
        </w:rPr>
        <w:t>：题干强调人们是在现有生产力的规定和容许范围</w:t>
      </w:r>
      <w:r>
        <w:rPr>
          <w:spacing w:val="-2"/>
        </w:rPr>
        <w:t>内取得自由，说明生产力的发展能够拓展自由的实现边</w:t>
      </w:r>
      <w:r>
        <w:rPr>
          <w:spacing w:val="-1"/>
        </w:rPr>
        <w:t>界，发展社会生产力是人类实现自由和解放的必要条件，正确。</w:t>
      </w:r>
    </w:p>
    <w:p w14:paraId="70F75DF4">
      <w:pPr>
        <w:pStyle w:val="2"/>
        <w:spacing w:before="218" w:line="348" w:lineRule="auto"/>
        <w:ind w:left="130" w:hanging="6"/>
      </w:pPr>
      <w:r>
        <w:rPr>
          <w:rFonts w:ascii="Times New Roman" w:hAnsi="Times New Roman" w:eastAsia="Times New Roman" w:cs="Times New Roman"/>
          <w:spacing w:val="-1"/>
        </w:rPr>
        <w:t xml:space="preserve">2.  </w:t>
      </w:r>
      <w:r>
        <w:rPr>
          <w:spacing w:val="-1"/>
        </w:rPr>
        <w:t>传承是最好的纪念，奋斗是最好的致敬。从江西于都河畔的红色文旅融合到福建加快老区苏区振兴</w:t>
      </w:r>
      <w:r>
        <w:rPr>
          <w:spacing w:val="-2"/>
        </w:rPr>
        <w:t>发展，</w:t>
      </w:r>
      <w:r>
        <w:rPr>
          <w:spacing w:val="-1"/>
        </w:rPr>
        <w:t>从湖南郴州灾后重建的为民奔走到广西桂林漓江的“生态长征</w:t>
      </w:r>
      <w:r>
        <w:rPr>
          <w:spacing w:val="-77"/>
        </w:rPr>
        <w:t xml:space="preserve"> </w:t>
      </w:r>
      <w:r>
        <w:rPr>
          <w:spacing w:val="-1"/>
        </w:rPr>
        <w:t>”……各</w:t>
      </w:r>
      <w:r>
        <w:rPr>
          <w:spacing w:val="-2"/>
        </w:rPr>
        <w:t>地正将长征精神转化为高质量发展</w:t>
      </w:r>
      <w:r>
        <w:t xml:space="preserve"> </w:t>
      </w:r>
      <w:r>
        <w:rPr>
          <w:spacing w:val="-2"/>
        </w:rPr>
        <w:t>的生动实践。以下能正确反映这些生动实践的是 (</w:t>
      </w:r>
      <w:r>
        <w:rPr>
          <w:spacing w:val="22"/>
        </w:rPr>
        <w:t xml:space="preserve">   </w:t>
      </w:r>
      <w:r>
        <w:rPr>
          <w:spacing w:val="-2"/>
        </w:rPr>
        <w:t>)</w:t>
      </w:r>
    </w:p>
    <w:p w14:paraId="4F54DFF0">
      <w:pPr>
        <w:spacing w:line="84" w:lineRule="exact"/>
      </w:pPr>
    </w:p>
    <w:tbl>
      <w:tblPr>
        <w:tblStyle w:val="6"/>
        <w:tblW w:w="997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6"/>
        <w:gridCol w:w="1678"/>
        <w:gridCol w:w="7601"/>
      </w:tblGrid>
      <w:tr w14:paraId="59AEE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696" w:type="dxa"/>
            <w:vAlign w:val="top"/>
          </w:tcPr>
          <w:p w14:paraId="1E7EF767">
            <w:pPr>
              <w:spacing w:before="174" w:line="297" w:lineRule="exact"/>
              <w:ind w:left="233"/>
              <w:rPr>
                <w:rFonts w:ascii="等线" w:hAnsi="等线" w:eastAsia="等线" w:cs="等线"/>
                <w:sz w:val="21"/>
                <w:szCs w:val="21"/>
              </w:rPr>
            </w:pPr>
            <w:r>
              <w:rPr>
                <w:rFonts w:ascii="等线" w:hAnsi="等线" w:eastAsia="等线" w:cs="等线"/>
                <w:position w:val="2"/>
                <w:sz w:val="21"/>
                <w:szCs w:val="21"/>
              </w:rPr>
              <w:t>①</w:t>
            </w:r>
          </w:p>
        </w:tc>
        <w:tc>
          <w:tcPr>
            <w:tcW w:w="1678" w:type="dxa"/>
            <w:vAlign w:val="top"/>
          </w:tcPr>
          <w:p w14:paraId="6F3A60E9">
            <w:pPr>
              <w:spacing w:before="207" w:line="209" w:lineRule="auto"/>
              <w:ind w:left="416"/>
              <w:rPr>
                <w:rFonts w:ascii="等线" w:hAnsi="等线" w:eastAsia="等线" w:cs="等线"/>
                <w:sz w:val="21"/>
                <w:szCs w:val="21"/>
              </w:rPr>
            </w:pPr>
            <w:r>
              <w:rPr>
                <w:rFonts w:ascii="等线" w:hAnsi="等线" w:eastAsia="等线" w:cs="等线"/>
                <w:spacing w:val="-3"/>
                <w:sz w:val="21"/>
                <w:szCs w:val="21"/>
              </w:rPr>
              <w:t>红色文旅</w:t>
            </w:r>
          </w:p>
        </w:tc>
        <w:tc>
          <w:tcPr>
            <w:tcW w:w="7601" w:type="dxa"/>
            <w:vAlign w:val="top"/>
          </w:tcPr>
          <w:p w14:paraId="799F54AB">
            <w:pPr>
              <w:spacing w:before="174" w:line="300" w:lineRule="exact"/>
              <w:ind w:left="1487"/>
              <w:rPr>
                <w:rFonts w:ascii="等线" w:hAnsi="等线" w:eastAsia="等线" w:cs="等线"/>
                <w:sz w:val="21"/>
                <w:szCs w:val="21"/>
              </w:rPr>
            </w:pPr>
            <w:r>
              <w:rPr>
                <w:rFonts w:ascii="等线" w:hAnsi="等线" w:eastAsia="等线" w:cs="等线"/>
                <w:spacing w:val="-1"/>
                <w:position w:val="2"/>
                <w:sz w:val="21"/>
                <w:szCs w:val="21"/>
              </w:rPr>
              <w:t>传承红色基因，推动物质文明与精神文明协同并进</w:t>
            </w:r>
          </w:p>
        </w:tc>
      </w:tr>
      <w:tr w14:paraId="1F418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696" w:type="dxa"/>
            <w:vAlign w:val="top"/>
          </w:tcPr>
          <w:p w14:paraId="281341A4">
            <w:pPr>
              <w:spacing w:before="173" w:line="297" w:lineRule="exact"/>
              <w:ind w:left="233"/>
              <w:rPr>
                <w:rFonts w:ascii="等线" w:hAnsi="等线" w:eastAsia="等线" w:cs="等线"/>
                <w:sz w:val="21"/>
                <w:szCs w:val="21"/>
              </w:rPr>
            </w:pPr>
            <w:r>
              <w:rPr>
                <w:rFonts w:ascii="等线" w:hAnsi="等线" w:eastAsia="等线" w:cs="等线"/>
                <w:position w:val="2"/>
                <w:sz w:val="21"/>
                <w:szCs w:val="21"/>
              </w:rPr>
              <w:t>②</w:t>
            </w:r>
          </w:p>
        </w:tc>
        <w:tc>
          <w:tcPr>
            <w:tcW w:w="1678" w:type="dxa"/>
            <w:vAlign w:val="top"/>
          </w:tcPr>
          <w:p w14:paraId="5B34B0E2">
            <w:pPr>
              <w:spacing w:before="206" w:line="209" w:lineRule="auto"/>
              <w:ind w:left="416"/>
              <w:rPr>
                <w:rFonts w:ascii="等线" w:hAnsi="等线" w:eastAsia="等线" w:cs="等线"/>
                <w:sz w:val="21"/>
                <w:szCs w:val="21"/>
              </w:rPr>
            </w:pPr>
            <w:r>
              <w:rPr>
                <w:rFonts w:ascii="等线" w:hAnsi="等线" w:eastAsia="等线" w:cs="等线"/>
                <w:spacing w:val="-3"/>
                <w:sz w:val="21"/>
                <w:szCs w:val="21"/>
              </w:rPr>
              <w:t>经济发展</w:t>
            </w:r>
          </w:p>
        </w:tc>
        <w:tc>
          <w:tcPr>
            <w:tcW w:w="7601" w:type="dxa"/>
            <w:vAlign w:val="top"/>
          </w:tcPr>
          <w:p w14:paraId="737BB2CC">
            <w:pPr>
              <w:spacing w:before="173" w:line="300" w:lineRule="exact"/>
              <w:ind w:left="1802"/>
              <w:rPr>
                <w:rFonts w:ascii="等线" w:hAnsi="等线" w:eastAsia="等线" w:cs="等线"/>
                <w:sz w:val="21"/>
                <w:szCs w:val="21"/>
              </w:rPr>
            </w:pPr>
            <w:r>
              <w:rPr>
                <w:rFonts w:ascii="等线" w:hAnsi="等线" w:eastAsia="等线" w:cs="等线"/>
                <w:spacing w:val="-1"/>
                <w:position w:val="2"/>
                <w:sz w:val="21"/>
                <w:szCs w:val="21"/>
              </w:rPr>
              <w:t>践行新发展理念，为民族复兴提供根本保证</w:t>
            </w:r>
          </w:p>
        </w:tc>
      </w:tr>
      <w:tr w14:paraId="7A1E7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696" w:type="dxa"/>
            <w:vAlign w:val="top"/>
          </w:tcPr>
          <w:p w14:paraId="5D268FB1">
            <w:pPr>
              <w:spacing w:before="180" w:line="297" w:lineRule="exact"/>
              <w:ind w:left="233"/>
              <w:rPr>
                <w:rFonts w:ascii="等线" w:hAnsi="等线" w:eastAsia="等线" w:cs="等线"/>
                <w:sz w:val="21"/>
                <w:szCs w:val="21"/>
              </w:rPr>
            </w:pPr>
            <w:r>
              <w:rPr>
                <w:rFonts w:ascii="等线" w:hAnsi="等线" w:eastAsia="等线" w:cs="等线"/>
                <w:position w:val="2"/>
                <w:sz w:val="21"/>
                <w:szCs w:val="21"/>
              </w:rPr>
              <w:t>③</w:t>
            </w:r>
          </w:p>
        </w:tc>
        <w:tc>
          <w:tcPr>
            <w:tcW w:w="1678" w:type="dxa"/>
            <w:vAlign w:val="top"/>
          </w:tcPr>
          <w:p w14:paraId="4638A884">
            <w:pPr>
              <w:spacing w:before="214" w:line="209" w:lineRule="auto"/>
              <w:ind w:left="429"/>
              <w:rPr>
                <w:rFonts w:ascii="等线" w:hAnsi="等线" w:eastAsia="等线" w:cs="等线"/>
                <w:sz w:val="21"/>
                <w:szCs w:val="21"/>
              </w:rPr>
            </w:pPr>
            <w:r>
              <w:rPr>
                <w:rFonts w:ascii="等线" w:hAnsi="等线" w:eastAsia="等线" w:cs="等线"/>
                <w:spacing w:val="-7"/>
                <w:sz w:val="21"/>
                <w:szCs w:val="21"/>
              </w:rPr>
              <w:t>民生保障</w:t>
            </w:r>
          </w:p>
        </w:tc>
        <w:tc>
          <w:tcPr>
            <w:tcW w:w="7601" w:type="dxa"/>
            <w:vAlign w:val="top"/>
          </w:tcPr>
          <w:p w14:paraId="2E94AA76">
            <w:pPr>
              <w:spacing w:before="180" w:line="299" w:lineRule="exact"/>
              <w:ind w:left="1807"/>
              <w:rPr>
                <w:rFonts w:ascii="等线" w:hAnsi="等线" w:eastAsia="等线" w:cs="等线"/>
                <w:sz w:val="21"/>
                <w:szCs w:val="21"/>
              </w:rPr>
            </w:pPr>
            <w:r>
              <w:rPr>
                <w:rFonts w:ascii="等线" w:hAnsi="等线" w:eastAsia="等线" w:cs="等线"/>
                <w:spacing w:val="-1"/>
                <w:position w:val="2"/>
                <w:sz w:val="21"/>
                <w:szCs w:val="21"/>
              </w:rPr>
              <w:t>坚持党的群众路线，推进党的建设伟大事业</w:t>
            </w:r>
          </w:p>
        </w:tc>
      </w:tr>
      <w:tr w14:paraId="46BA1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3" w:hRule="atLeast"/>
        </w:trPr>
        <w:tc>
          <w:tcPr>
            <w:tcW w:w="696" w:type="dxa"/>
            <w:vAlign w:val="top"/>
          </w:tcPr>
          <w:p w14:paraId="1FD21DD6">
            <w:pPr>
              <w:spacing w:before="187" w:line="297" w:lineRule="exact"/>
              <w:ind w:left="233"/>
              <w:rPr>
                <w:rFonts w:ascii="等线" w:hAnsi="等线" w:eastAsia="等线" w:cs="等线"/>
                <w:sz w:val="21"/>
                <w:szCs w:val="21"/>
              </w:rPr>
            </w:pPr>
            <w:r>
              <w:rPr>
                <w:rFonts w:ascii="等线" w:hAnsi="等线" w:eastAsia="等线" w:cs="等线"/>
                <w:position w:val="2"/>
                <w:sz w:val="21"/>
                <w:szCs w:val="21"/>
              </w:rPr>
              <w:t>④</w:t>
            </w:r>
          </w:p>
        </w:tc>
        <w:tc>
          <w:tcPr>
            <w:tcW w:w="1678" w:type="dxa"/>
            <w:vAlign w:val="top"/>
          </w:tcPr>
          <w:p w14:paraId="62F07AEE">
            <w:pPr>
              <w:spacing w:before="221" w:line="208" w:lineRule="auto"/>
              <w:ind w:left="417"/>
              <w:rPr>
                <w:rFonts w:ascii="等线" w:hAnsi="等线" w:eastAsia="等线" w:cs="等线"/>
                <w:sz w:val="21"/>
                <w:szCs w:val="21"/>
              </w:rPr>
            </w:pPr>
            <w:r>
              <w:rPr>
                <w:rFonts w:ascii="等线" w:hAnsi="等线" w:eastAsia="等线" w:cs="等线"/>
                <w:spacing w:val="-4"/>
                <w:sz w:val="21"/>
                <w:szCs w:val="21"/>
              </w:rPr>
              <w:t>生态建设</w:t>
            </w:r>
          </w:p>
        </w:tc>
        <w:tc>
          <w:tcPr>
            <w:tcW w:w="7601" w:type="dxa"/>
            <w:vAlign w:val="top"/>
          </w:tcPr>
          <w:p w14:paraId="24F20238">
            <w:pPr>
              <w:spacing w:before="187" w:line="302" w:lineRule="exact"/>
              <w:ind w:left="1700"/>
              <w:rPr>
                <w:rFonts w:ascii="等线" w:hAnsi="等线" w:eastAsia="等线" w:cs="等线"/>
                <w:sz w:val="21"/>
                <w:szCs w:val="21"/>
              </w:rPr>
            </w:pPr>
            <w:r>
              <w:rPr>
                <w:rFonts w:ascii="等线" w:hAnsi="等线" w:eastAsia="等线" w:cs="等线"/>
                <w:spacing w:val="-1"/>
                <w:position w:val="2"/>
                <w:sz w:val="21"/>
                <w:szCs w:val="21"/>
              </w:rPr>
              <w:t>贯彻习近平生态文明思想，推进美丽中国建设</w:t>
            </w:r>
          </w:p>
        </w:tc>
      </w:tr>
    </w:tbl>
    <w:p w14:paraId="722D7F71">
      <w:pPr>
        <w:spacing w:line="263" w:lineRule="auto"/>
        <w:rPr>
          <w:rFonts w:ascii="Arial"/>
          <w:sz w:val="21"/>
        </w:rPr>
      </w:pPr>
    </w:p>
    <w:p w14:paraId="38A4DBF4">
      <w:pPr>
        <w:spacing w:line="264" w:lineRule="auto"/>
        <w:rPr>
          <w:rFonts w:ascii="Arial"/>
          <w:sz w:val="21"/>
        </w:rPr>
      </w:pPr>
    </w:p>
    <w:p w14:paraId="38F869D2">
      <w:pPr>
        <w:pStyle w:val="2"/>
        <w:spacing w:before="68" w:line="217" w:lineRule="auto"/>
        <w:ind w:left="121"/>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6CC6AE3D">
      <w:pPr>
        <w:pStyle w:val="2"/>
        <w:spacing w:before="49" w:line="219" w:lineRule="auto"/>
        <w:ind w:left="1395"/>
      </w:pPr>
      <w:r>
        <w:rPr>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8"/>
        </w:rPr>
        <w:t>第</w:t>
      </w:r>
      <w:r>
        <w:rPr>
          <w:spacing w:val="-27"/>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8"/>
        </w:rPr>
        <w:t xml:space="preserve"> </w:t>
      </w:r>
      <w:r>
        <w:rPr>
          <w:rFonts w:ascii="Times New Roman" w:hAnsi="Times New Roman" w:eastAsia="Times New Roman" w:cs="Times New Roman"/>
          <w:spacing w:val="-8"/>
        </w:rPr>
        <w:t>17</w:t>
      </w:r>
      <w:r>
        <w:rPr>
          <w:spacing w:val="-8"/>
        </w:rPr>
        <w:t>页</w:t>
      </w:r>
    </w:p>
    <w:p w14:paraId="115DBEFB">
      <w:pPr>
        <w:spacing w:line="219" w:lineRule="auto"/>
        <w:sectPr>
          <w:headerReference r:id="rId5" w:type="default"/>
          <w:footerReference r:id="rId6" w:type="default"/>
          <w:pgSz w:w="11900" w:h="16839"/>
          <w:pgMar w:top="400" w:right="943" w:bottom="0" w:left="960" w:header="0" w:footer="0" w:gutter="0"/>
          <w:cols w:space="720" w:num="1"/>
        </w:sectPr>
      </w:pPr>
    </w:p>
    <w:p w14:paraId="6EB4425D">
      <w:pPr>
        <w:spacing w:line="244" w:lineRule="auto"/>
        <w:rPr>
          <w:rFonts w:ascii="Arial"/>
          <w:sz w:val="21"/>
        </w:rPr>
      </w:pPr>
    </w:p>
    <w:p w14:paraId="3B14A44F">
      <w:pPr>
        <w:spacing w:line="245" w:lineRule="auto"/>
        <w:rPr>
          <w:rFonts w:ascii="Arial"/>
          <w:sz w:val="21"/>
        </w:rPr>
      </w:pPr>
    </w:p>
    <w:p w14:paraId="07E46150">
      <w:pPr>
        <w:spacing w:line="375" w:lineRule="exact"/>
        <w:ind w:firstLine="1321"/>
      </w:pPr>
    </w:p>
    <w:p w14:paraId="67FE1BA3">
      <w:pPr>
        <w:pStyle w:val="2"/>
        <w:spacing w:before="183" w:line="411" w:lineRule="auto"/>
        <w:ind w:right="8912"/>
      </w:pPr>
      <w:r>
        <w:pict>
          <v:rect id="_x0000_s1026" o:spid="_x0000_s1026" o:spt="1" style="position:absolute;left:0pt;margin-left:351.05pt;margin-top:10.15pt;height:0.75pt;width:0.75pt;z-index:251660288;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B </w:t>
      </w:r>
      <w:r>
        <w:rPr>
          <w:color w:val="2E75B6"/>
        </w:rPr>
        <w:t>【解析】</w:t>
      </w:r>
    </w:p>
    <w:p w14:paraId="1C4E4DE2">
      <w:pPr>
        <w:pStyle w:val="2"/>
        <w:spacing w:before="1" w:line="411" w:lineRule="auto"/>
        <w:ind w:left="12" w:right="232" w:hanging="13"/>
      </w:pPr>
      <w:r>
        <w:rPr>
          <w:spacing w:val="-1"/>
        </w:rPr>
        <w:t>【详解】①</w:t>
      </w:r>
      <w:r>
        <w:rPr>
          <w:spacing w:val="-78"/>
        </w:rPr>
        <w:t xml:space="preserve"> </w:t>
      </w:r>
      <w:r>
        <w:rPr>
          <w:spacing w:val="-1"/>
        </w:rPr>
        <w:t>：红色文旅融合，既带动文旅产业发展（物质文明</w:t>
      </w:r>
      <w:r>
        <w:rPr>
          <w:spacing w:val="-47"/>
        </w:rPr>
        <w:t>），</w:t>
      </w:r>
      <w:r>
        <w:rPr>
          <w:spacing w:val="-1"/>
        </w:rPr>
        <w:t>又传承红色文化精神（</w:t>
      </w:r>
      <w:r>
        <w:rPr>
          <w:spacing w:val="-2"/>
        </w:rPr>
        <w:t>精神文明</w:t>
      </w:r>
      <w:r>
        <w:rPr>
          <w:spacing w:val="-47"/>
        </w:rPr>
        <w:t>），</w:t>
      </w:r>
      <w:r>
        <w:rPr>
          <w:spacing w:val="-2"/>
        </w:rPr>
        <w:t>实现二者协同并进，正确。</w:t>
      </w:r>
    </w:p>
    <w:p w14:paraId="7899CA17">
      <w:pPr>
        <w:pStyle w:val="2"/>
        <w:spacing w:line="217" w:lineRule="auto"/>
        <w:ind w:left="8"/>
      </w:pPr>
      <w:r>
        <w:rPr>
          <w:spacing w:val="-1"/>
        </w:rPr>
        <w:t>②</w:t>
      </w:r>
      <w:r>
        <w:rPr>
          <w:spacing w:val="-77"/>
        </w:rPr>
        <w:t xml:space="preserve"> </w:t>
      </w:r>
      <w:r>
        <w:rPr>
          <w:spacing w:val="-1"/>
        </w:rPr>
        <w:t>：民族复兴的根本保证是坚持中国共产党的领导，不是践行新发展理念，错误。</w:t>
      </w:r>
    </w:p>
    <w:p w14:paraId="2F1AE0C7">
      <w:pPr>
        <w:pStyle w:val="2"/>
        <w:spacing w:before="221" w:line="316" w:lineRule="auto"/>
        <w:ind w:left="9" w:right="68" w:hanging="1"/>
      </w:pPr>
      <w:r>
        <w:rPr>
          <w:spacing w:val="-2"/>
        </w:rPr>
        <w:t>③</w:t>
      </w:r>
      <w:r>
        <w:rPr>
          <w:spacing w:val="-66"/>
        </w:rPr>
        <w:t xml:space="preserve"> </w:t>
      </w:r>
      <w:r>
        <w:rPr>
          <w:spacing w:val="-2"/>
        </w:rPr>
        <w:t>：题干中灾后重建的实践聚焦保障民生，而非推进党的建设，且党的建设是伟大工程，而不是伟大事业，</w:t>
      </w:r>
      <w:r>
        <w:rPr>
          <w:spacing w:val="-3"/>
        </w:rPr>
        <w:t>错误。</w:t>
      </w:r>
    </w:p>
    <w:p w14:paraId="0FF3014A">
      <w:pPr>
        <w:pStyle w:val="2"/>
        <w:spacing w:before="216" w:line="217" w:lineRule="auto"/>
        <w:ind w:left="8"/>
      </w:pPr>
      <w:r>
        <w:rPr>
          <w:spacing w:val="-1"/>
        </w:rPr>
        <w:t>④</w:t>
      </w:r>
      <w:r>
        <w:rPr>
          <w:spacing w:val="-79"/>
        </w:rPr>
        <w:t xml:space="preserve"> </w:t>
      </w:r>
      <w:r>
        <w:rPr>
          <w:spacing w:val="-1"/>
        </w:rPr>
        <w:t>：漓江“生态长征</w:t>
      </w:r>
      <w:r>
        <w:rPr>
          <w:spacing w:val="-77"/>
        </w:rPr>
        <w:t xml:space="preserve"> </w:t>
      </w:r>
      <w:r>
        <w:rPr>
          <w:spacing w:val="-1"/>
        </w:rPr>
        <w:t>”属于生态建设实践，是贯彻习近平生态文明思想、</w:t>
      </w:r>
      <w:r>
        <w:rPr>
          <w:spacing w:val="-2"/>
        </w:rPr>
        <w:t>推进美丽中国建设的体现，正确。</w:t>
      </w:r>
    </w:p>
    <w:p w14:paraId="5876B714">
      <w:pPr>
        <w:pStyle w:val="2"/>
        <w:spacing w:before="223" w:line="347" w:lineRule="auto"/>
        <w:ind w:left="9" w:right="179"/>
      </w:pPr>
      <w:r>
        <w:rPr>
          <w:rFonts w:ascii="Times New Roman" w:hAnsi="Times New Roman" w:eastAsia="Times New Roman" w:cs="Times New Roman"/>
        </w:rPr>
        <w:t xml:space="preserve">3.  </w:t>
      </w:r>
      <w:r>
        <w:t>某地为居民打造专属家庭医生数字健康人平台，通过运用人工智能、大数据等新</w:t>
      </w:r>
      <w:r>
        <w:rPr>
          <w:spacing w:val="-1"/>
        </w:rPr>
        <w:t>一代数字技术，为居民</w:t>
      </w:r>
      <w:r>
        <w:t>提供导医导诊、智能陪诊、用药提醒、病历整理等贴心服务，为医疗健康服务理念</w:t>
      </w:r>
      <w:r>
        <w:rPr>
          <w:spacing w:val="-1"/>
        </w:rPr>
        <w:t>、模式、手段带来全新</w:t>
      </w:r>
      <w:r>
        <w:rPr>
          <w:spacing w:val="-3"/>
        </w:rPr>
        <w:t>变革。该数字健康人平台的应用能 (</w:t>
      </w:r>
      <w:r>
        <w:rPr>
          <w:spacing w:val="25"/>
        </w:rPr>
        <w:t xml:space="preserve">   </w:t>
      </w:r>
      <w:r>
        <w:rPr>
          <w:spacing w:val="-3"/>
        </w:rPr>
        <w:t>)</w:t>
      </w:r>
    </w:p>
    <w:p w14:paraId="187902ED">
      <w:pPr>
        <w:pStyle w:val="2"/>
        <w:spacing w:before="219" w:line="217" w:lineRule="auto"/>
        <w:ind w:left="9"/>
      </w:pPr>
      <w:r>
        <w:rPr>
          <w:spacing w:val="-1"/>
        </w:rPr>
        <w:t>①优化就医流程，改善居民就医体验</w:t>
      </w:r>
    </w:p>
    <w:p w14:paraId="264A35F5">
      <w:pPr>
        <w:pStyle w:val="2"/>
        <w:spacing w:before="221" w:line="217" w:lineRule="auto"/>
        <w:ind w:left="8"/>
      </w:pPr>
      <w:r>
        <w:rPr>
          <w:spacing w:val="-1"/>
        </w:rPr>
        <w:t>②优化资源配置，提高医疗服务水平</w:t>
      </w:r>
    </w:p>
    <w:p w14:paraId="2509768E">
      <w:pPr>
        <w:pStyle w:val="2"/>
        <w:spacing w:before="221" w:line="217" w:lineRule="auto"/>
        <w:ind w:left="8"/>
      </w:pPr>
      <w:r>
        <w:rPr>
          <w:spacing w:val="-1"/>
        </w:rPr>
        <w:t>③减少医疗环节，提高医院诊疗效率</w:t>
      </w:r>
    </w:p>
    <w:p w14:paraId="2300C7EF">
      <w:pPr>
        <w:pStyle w:val="2"/>
        <w:spacing w:before="221" w:line="217" w:lineRule="auto"/>
        <w:ind w:left="8"/>
      </w:pPr>
      <w:r>
        <w:rPr>
          <w:spacing w:val="-1"/>
        </w:rPr>
        <w:t>④生成诊疗方案，满足居民健康需求</w:t>
      </w:r>
    </w:p>
    <w:p w14:paraId="67B11909">
      <w:pPr>
        <w:pStyle w:val="2"/>
        <w:spacing w:before="222" w:line="411" w:lineRule="auto"/>
        <w:ind w:right="1906"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774F57E2">
      <w:pPr>
        <w:pStyle w:val="2"/>
        <w:spacing w:line="220" w:lineRule="auto"/>
      </w:pPr>
      <w:r>
        <w:rPr>
          <w:color w:val="2E75B6"/>
        </w:rPr>
        <w:t>【解析】</w:t>
      </w:r>
    </w:p>
    <w:p w14:paraId="771A0061">
      <w:pPr>
        <w:pStyle w:val="2"/>
        <w:spacing w:before="219" w:line="411" w:lineRule="auto"/>
        <w:ind w:left="8" w:right="232" w:hanging="9"/>
      </w:pPr>
      <w:r>
        <w:t>【详解】①</w:t>
      </w:r>
      <w:r>
        <w:rPr>
          <w:spacing w:val="-79"/>
        </w:rPr>
        <w:t xml:space="preserve"> </w:t>
      </w:r>
      <w:r>
        <w:t>：数字健康人平台通过提供导医导</w:t>
      </w:r>
      <w:r>
        <w:rPr>
          <w:spacing w:val="-1"/>
        </w:rPr>
        <w:t>诊、智能陪诊等服务，串联诊前、诊中、诊后的线上线下流</w:t>
      </w:r>
      <w:r>
        <w:t>程，能够有效减少患者排队等待时间，优化就医流程，从而改善居</w:t>
      </w:r>
      <w:r>
        <w:rPr>
          <w:spacing w:val="-1"/>
        </w:rPr>
        <w:t>民就医体验，正确。</w:t>
      </w:r>
    </w:p>
    <w:p w14:paraId="7B0D566B">
      <w:pPr>
        <w:pStyle w:val="2"/>
        <w:spacing w:before="1" w:line="315" w:lineRule="auto"/>
        <w:ind w:left="19" w:right="232" w:hanging="11"/>
      </w:pPr>
      <w:r>
        <w:rPr>
          <w:spacing w:val="-1"/>
        </w:rPr>
        <w:t>②</w:t>
      </w:r>
      <w:r>
        <w:rPr>
          <w:spacing w:val="-67"/>
        </w:rPr>
        <w:t xml:space="preserve"> </w:t>
      </w:r>
      <w:r>
        <w:rPr>
          <w:spacing w:val="-1"/>
        </w:rPr>
        <w:t>：该平台利用人工智能和大数据技术，能够减轻医生在引导、答疑、宣教等方面的机械性工作负担，使医生更加专注于疾病治疗，从而优化医疗资源配置，提高整体医疗服务水平，正确。</w:t>
      </w:r>
    </w:p>
    <w:p w14:paraId="6BDA1656">
      <w:pPr>
        <w:pStyle w:val="2"/>
        <w:spacing w:before="218" w:line="315" w:lineRule="auto"/>
        <w:ind w:left="13" w:right="232" w:hanging="5"/>
      </w:pPr>
      <w:r>
        <w:rPr>
          <w:spacing w:val="-2"/>
        </w:rPr>
        <w:t>③</w:t>
      </w:r>
      <w:r>
        <w:rPr>
          <w:spacing w:val="-77"/>
        </w:rPr>
        <w:t xml:space="preserve"> </w:t>
      </w:r>
      <w:r>
        <w:rPr>
          <w:spacing w:val="-2"/>
        </w:rPr>
        <w:t>：该平台旨在将部分线下就医环节转至线上，减少的是患者的“排队次数</w:t>
      </w:r>
      <w:r>
        <w:rPr>
          <w:spacing w:val="-77"/>
        </w:rPr>
        <w:t xml:space="preserve"> </w:t>
      </w:r>
      <w:r>
        <w:rPr>
          <w:spacing w:val="-2"/>
        </w:rPr>
        <w:t>”和“等待时间</w:t>
      </w:r>
      <w:r>
        <w:rPr>
          <w:spacing w:val="-77"/>
        </w:rPr>
        <w:t xml:space="preserve"> </w:t>
      </w:r>
      <w:r>
        <w:rPr>
          <w:spacing w:val="-2"/>
        </w:rPr>
        <w:t>”，而非减少</w:t>
      </w:r>
      <w:r>
        <w:rPr>
          <w:spacing w:val="-1"/>
        </w:rPr>
        <w:t>必要的“医疗环节</w:t>
      </w:r>
      <w:r>
        <w:rPr>
          <w:spacing w:val="-77"/>
        </w:rPr>
        <w:t xml:space="preserve"> </w:t>
      </w:r>
      <w:r>
        <w:rPr>
          <w:spacing w:val="-1"/>
        </w:rPr>
        <w:t>”。医疗诊疗环节必须遵循科学规范，不能随意</w:t>
      </w:r>
      <w:r>
        <w:rPr>
          <w:spacing w:val="-2"/>
        </w:rPr>
        <w:t>减少，排除。</w:t>
      </w:r>
    </w:p>
    <w:p w14:paraId="5B8B9BF3">
      <w:pPr>
        <w:pStyle w:val="2"/>
        <w:spacing w:before="220" w:line="315" w:lineRule="auto"/>
        <w:ind w:left="13" w:right="232" w:hanging="5"/>
      </w:pPr>
      <w:r>
        <w:rPr>
          <w:spacing w:val="-1"/>
        </w:rPr>
        <w:t>④</w:t>
      </w:r>
      <w:r>
        <w:rPr>
          <w:spacing w:val="-67"/>
        </w:rPr>
        <w:t xml:space="preserve"> </w:t>
      </w:r>
      <w:r>
        <w:rPr>
          <w:spacing w:val="-1"/>
        </w:rPr>
        <w:t>：诊疗方案的制定属于专业医疗行为，必须由执业医师依据患者具体病情综合判断，数字健康人平台不具备医学诊断权，也无法替代医生生成个性化诊疗方案，排除。</w:t>
      </w:r>
    </w:p>
    <w:p w14:paraId="5384B0A2">
      <w:pPr>
        <w:pStyle w:val="2"/>
        <w:spacing w:before="219" w:line="315" w:lineRule="auto"/>
        <w:ind w:left="12" w:hanging="7"/>
      </w:pPr>
      <w:r>
        <w:rPr>
          <w:rFonts w:ascii="Times New Roman" w:hAnsi="Times New Roman" w:eastAsia="Times New Roman" w:cs="Times New Roman"/>
          <w:spacing w:val="-1"/>
        </w:rPr>
        <w:t xml:space="preserve">4. </w:t>
      </w:r>
      <w:r>
        <w:rPr>
          <w:spacing w:val="-1"/>
        </w:rPr>
        <w:t>2026</w:t>
      </w:r>
      <w:r>
        <w:rPr>
          <w:spacing w:val="-44"/>
        </w:rPr>
        <w:t xml:space="preserve"> </w:t>
      </w:r>
      <w:r>
        <w:rPr>
          <w:spacing w:val="-1"/>
        </w:rPr>
        <w:t>年</w:t>
      </w:r>
      <w:r>
        <w:rPr>
          <w:spacing w:val="-42"/>
        </w:rPr>
        <w:t xml:space="preserve"> </w:t>
      </w:r>
      <w:r>
        <w:rPr>
          <w:spacing w:val="-1"/>
        </w:rPr>
        <w:t>2</w:t>
      </w:r>
      <w:r>
        <w:rPr>
          <w:spacing w:val="-39"/>
        </w:rPr>
        <w:t xml:space="preserve"> </w:t>
      </w:r>
      <w:r>
        <w:rPr>
          <w:spacing w:val="-1"/>
        </w:rPr>
        <w:t>月，中共中央、国务院《关于锚定农业农村现代化、扎实</w:t>
      </w:r>
      <w:r>
        <w:rPr>
          <w:spacing w:val="-2"/>
        </w:rPr>
        <w:t>推进乡村全面振兴的意见》公开发布。为扎实推进乡村全面振兴，下列政策作用路径正确的是 (</w:t>
      </w:r>
      <w:r>
        <w:rPr>
          <w:spacing w:val="24"/>
        </w:rPr>
        <w:t xml:space="preserve">   </w:t>
      </w:r>
      <w:r>
        <w:rPr>
          <w:spacing w:val="-2"/>
        </w:rPr>
        <w:t>)</w:t>
      </w:r>
    </w:p>
    <w:p w14:paraId="008C6910">
      <w:pPr>
        <w:pStyle w:val="2"/>
        <w:spacing w:before="219" w:line="217" w:lineRule="auto"/>
        <w:ind w:left="9"/>
      </w:pPr>
      <w:r>
        <w:rPr>
          <w:spacing w:val="-1"/>
        </w:rPr>
        <w:t>①扶持农村电商→发展县域富民产业→提升农业综合生产能力</w:t>
      </w:r>
    </w:p>
    <w:p w14:paraId="47C07296">
      <w:pPr>
        <w:pStyle w:val="2"/>
        <w:spacing w:before="222" w:line="217" w:lineRule="auto"/>
        <w:ind w:left="8"/>
      </w:pPr>
      <w:r>
        <w:t>②提升农村人居环境→创造乡村优质生活空间→</w:t>
      </w:r>
      <w:r>
        <w:rPr>
          <w:spacing w:val="-1"/>
        </w:rPr>
        <w:t>推进和美乡村建设</w:t>
      </w:r>
    </w:p>
    <w:p w14:paraId="58AE5975">
      <w:pPr>
        <w:pStyle w:val="2"/>
        <w:spacing w:before="99"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3B0146D8">
      <w:pPr>
        <w:spacing w:line="219" w:lineRule="auto"/>
        <w:sectPr>
          <w:headerReference r:id="rId7" w:type="default"/>
          <w:pgSz w:w="11900" w:h="16839"/>
          <w:pgMar w:top="400" w:right="927" w:bottom="0" w:left="1078" w:header="0" w:footer="0" w:gutter="0"/>
          <w:cols w:space="720" w:num="1"/>
        </w:sectPr>
      </w:pPr>
    </w:p>
    <w:p w14:paraId="071E8B43">
      <w:pPr>
        <w:spacing w:line="244" w:lineRule="auto"/>
        <w:rPr>
          <w:rFonts w:ascii="Arial"/>
          <w:sz w:val="21"/>
        </w:rPr>
      </w:pPr>
    </w:p>
    <w:p w14:paraId="01D694CD">
      <w:pPr>
        <w:spacing w:line="245" w:lineRule="auto"/>
        <w:rPr>
          <w:rFonts w:ascii="Arial"/>
          <w:sz w:val="21"/>
        </w:rPr>
      </w:pPr>
    </w:p>
    <w:p w14:paraId="77512D74">
      <w:pPr>
        <w:spacing w:line="375" w:lineRule="exact"/>
        <w:ind w:firstLine="1321"/>
      </w:pPr>
    </w:p>
    <w:p w14:paraId="2B1BE172">
      <w:pPr>
        <w:pStyle w:val="2"/>
        <w:spacing w:before="183" w:line="217" w:lineRule="auto"/>
        <w:ind w:left="8"/>
      </w:pPr>
      <w:r>
        <w:pict>
          <v:rect id="_x0000_s1027" o:spid="_x0000_s1027" o:spt="1" style="position:absolute;left:0pt;margin-left:351.05pt;margin-top:10.1pt;height:0.75pt;width:0.75pt;z-index:251662336;mso-width-relative:page;mso-height-relative:page;" fillcolor="#211D0A" filled="t" stroked="f" coordsize="21600,21600">
            <v:path/>
            <v:fill on="t" opacity="27499f" focussize="0,0"/>
            <v:stroke on="f"/>
            <v:imagedata o:title=""/>
            <o:lock v:ext="edit"/>
          </v:rect>
        </w:pict>
      </w:r>
      <w:r>
        <w:t>③完善农田灌排体系→加强重要农产品供给保障→</w:t>
      </w:r>
      <w:r>
        <w:rPr>
          <w:spacing w:val="-1"/>
        </w:rPr>
        <w:t>推进和美乡村建设</w:t>
      </w:r>
    </w:p>
    <w:p w14:paraId="6892295E">
      <w:pPr>
        <w:pStyle w:val="2"/>
        <w:spacing w:before="221" w:line="217" w:lineRule="auto"/>
        <w:ind w:left="8"/>
      </w:pPr>
      <w:r>
        <w:t>④培育农业科技领军企业→强化农业科技支撑→提升</w:t>
      </w:r>
      <w:r>
        <w:rPr>
          <w:spacing w:val="-1"/>
        </w:rPr>
        <w:t>农业综合生产能力</w:t>
      </w:r>
    </w:p>
    <w:p w14:paraId="7A615C1C">
      <w:pPr>
        <w:pStyle w:val="2"/>
        <w:spacing w:before="221"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2162FC99">
      <w:pPr>
        <w:pStyle w:val="2"/>
        <w:spacing w:line="220" w:lineRule="auto"/>
      </w:pPr>
      <w:r>
        <w:rPr>
          <w:color w:val="2E75B6"/>
        </w:rPr>
        <w:t>【解析】</w:t>
      </w:r>
    </w:p>
    <w:p w14:paraId="304E1EC0">
      <w:pPr>
        <w:pStyle w:val="2"/>
        <w:spacing w:before="219" w:line="411" w:lineRule="auto"/>
        <w:ind w:left="8" w:hanging="9"/>
        <w:jc w:val="both"/>
      </w:pPr>
      <w:r>
        <w:t>【详解】①</w:t>
      </w:r>
      <w:r>
        <w:rPr>
          <w:spacing w:val="-79"/>
        </w:rPr>
        <w:t xml:space="preserve"> </w:t>
      </w:r>
      <w:r>
        <w:t>：扶持农村电商有助于拓宽农产品</w:t>
      </w:r>
      <w:r>
        <w:rPr>
          <w:spacing w:val="-1"/>
        </w:rPr>
        <w:t>销售渠道，促进县域富民产业发展，但“提升农业综合生产</w:t>
      </w:r>
      <w:r>
        <w:rPr>
          <w:spacing w:val="-2"/>
        </w:rPr>
        <w:t>能力</w:t>
      </w:r>
      <w:r>
        <w:rPr>
          <w:spacing w:val="-68"/>
        </w:rPr>
        <w:t xml:space="preserve"> </w:t>
      </w:r>
      <w:r>
        <w:rPr>
          <w:spacing w:val="-2"/>
        </w:rPr>
        <w:t>”主要依赖农业科技进步、耕地保护、水利设施等生产环节，电商作用于流通销售端，传导终点错误，</w:t>
      </w:r>
      <w:r>
        <w:rPr>
          <w:spacing w:val="-3"/>
        </w:rPr>
        <w:t>排除。</w:t>
      </w:r>
    </w:p>
    <w:p w14:paraId="4DF6828E">
      <w:pPr>
        <w:pStyle w:val="2"/>
        <w:spacing w:line="315" w:lineRule="auto"/>
        <w:ind w:left="35" w:right="163" w:hanging="27"/>
      </w:pPr>
      <w:r>
        <w:rPr>
          <w:spacing w:val="-1"/>
        </w:rPr>
        <w:t>②</w:t>
      </w:r>
      <w:r>
        <w:rPr>
          <w:spacing w:val="-67"/>
        </w:rPr>
        <w:t xml:space="preserve"> </w:t>
      </w:r>
      <w:r>
        <w:rPr>
          <w:spacing w:val="-1"/>
        </w:rPr>
        <w:t>：提升农村人居环境，改善村容村貌与公共服务，创造乡村优质生活空间，是建设宜居宜业和美乡村的</w:t>
      </w:r>
      <w:r>
        <w:rPr>
          <w:spacing w:val="-5"/>
        </w:rPr>
        <w:t>内在要求，正确。</w:t>
      </w:r>
    </w:p>
    <w:p w14:paraId="2EEC89E3">
      <w:pPr>
        <w:pStyle w:val="2"/>
        <w:spacing w:before="219" w:line="315" w:lineRule="auto"/>
        <w:ind w:left="12" w:right="163" w:hanging="4"/>
      </w:pPr>
      <w:r>
        <w:rPr>
          <w:spacing w:val="-1"/>
        </w:rPr>
        <w:t>③</w:t>
      </w:r>
      <w:r>
        <w:rPr>
          <w:spacing w:val="-67"/>
        </w:rPr>
        <w:t xml:space="preserve"> </w:t>
      </w:r>
      <w:r>
        <w:rPr>
          <w:spacing w:val="-1"/>
        </w:rPr>
        <w:t>：完善农田灌排体系有利于防灾减灾、稳产高产，直接增强重要农产品供给保障能力，但其政策效应应指向提升农业综合生产能力，而非“推进和美乡村建设</w:t>
      </w:r>
      <w:r>
        <w:rPr>
          <w:spacing w:val="-77"/>
        </w:rPr>
        <w:t xml:space="preserve"> </w:t>
      </w:r>
      <w:r>
        <w:rPr>
          <w:spacing w:val="-1"/>
        </w:rPr>
        <w:t>”，终点</w:t>
      </w:r>
      <w:r>
        <w:rPr>
          <w:spacing w:val="-2"/>
        </w:rPr>
        <w:t>错配，排除。</w:t>
      </w:r>
    </w:p>
    <w:p w14:paraId="720402C9">
      <w:pPr>
        <w:pStyle w:val="2"/>
        <w:spacing w:before="220" w:line="315" w:lineRule="auto"/>
        <w:ind w:left="14" w:right="163" w:hanging="6"/>
      </w:pPr>
      <w:r>
        <w:rPr>
          <w:spacing w:val="-1"/>
        </w:rPr>
        <w:t>④</w:t>
      </w:r>
      <w:r>
        <w:rPr>
          <w:spacing w:val="-67"/>
        </w:rPr>
        <w:t xml:space="preserve"> </w:t>
      </w:r>
      <w:r>
        <w:rPr>
          <w:spacing w:val="-1"/>
        </w:rPr>
        <w:t>：培育农业科技领军企业，发挥其创新主体作用，强化农业科技支撑，依靠科技进步提高土地产出率和劳动效率，进而提升农业综合生产能力，正确。</w:t>
      </w:r>
    </w:p>
    <w:p w14:paraId="03E1B4B2">
      <w:pPr>
        <w:pStyle w:val="2"/>
        <w:spacing w:before="218" w:line="348" w:lineRule="auto"/>
        <w:ind w:left="9" w:right="110" w:firstLine="2"/>
      </w:pPr>
      <w:r>
        <w:rPr>
          <w:rFonts w:ascii="Times New Roman" w:hAnsi="Times New Roman" w:eastAsia="Times New Roman" w:cs="Times New Roman"/>
        </w:rPr>
        <w:t xml:space="preserve">5.  </w:t>
      </w:r>
      <w:r>
        <w:t>政绩观问题是一个根本性问题，关乎立党为公、执政为民。政绩观决定了“</w:t>
      </w:r>
      <w:r>
        <w:rPr>
          <w:spacing w:val="-1"/>
        </w:rPr>
        <w:t>政绩为谁而树、树什么样的政绩、靠什么树政绩</w:t>
      </w:r>
      <w:r>
        <w:rPr>
          <w:spacing w:val="-77"/>
        </w:rPr>
        <w:t xml:space="preserve"> </w:t>
      </w:r>
      <w:r>
        <w:rPr>
          <w:spacing w:val="-1"/>
        </w:rPr>
        <w:t>”等重大问题，是党员干部思想、立场、</w:t>
      </w:r>
      <w:r>
        <w:rPr>
          <w:spacing w:val="-2"/>
        </w:rPr>
        <w:t>作风和行动的“总开关</w:t>
      </w:r>
      <w:r>
        <w:rPr>
          <w:spacing w:val="-77"/>
        </w:rPr>
        <w:t xml:space="preserve"> </w:t>
      </w:r>
      <w:r>
        <w:rPr>
          <w:spacing w:val="-2"/>
        </w:rPr>
        <w:t>”。这表明，树立和</w:t>
      </w:r>
      <w:r>
        <w:rPr>
          <w:spacing w:val="-6"/>
        </w:rPr>
        <w:t>践行正确政绩观</w:t>
      </w:r>
      <w:r>
        <w:rPr>
          <w:spacing w:val="15"/>
        </w:rPr>
        <w:t xml:space="preserve"> </w:t>
      </w:r>
      <w:r>
        <w:rPr>
          <w:spacing w:val="-6"/>
        </w:rPr>
        <w:t>(</w:t>
      </w:r>
      <w:r>
        <w:rPr>
          <w:spacing w:val="20"/>
        </w:rPr>
        <w:t xml:space="preserve">   </w:t>
      </w:r>
      <w:r>
        <w:rPr>
          <w:spacing w:val="-6"/>
        </w:rPr>
        <w:t>)</w:t>
      </w:r>
    </w:p>
    <w:p w14:paraId="56673C59">
      <w:pPr>
        <w:pStyle w:val="2"/>
        <w:spacing w:before="217" w:line="217" w:lineRule="auto"/>
        <w:ind w:left="9"/>
      </w:pPr>
      <w:r>
        <w:rPr>
          <w:spacing w:val="-1"/>
        </w:rPr>
        <w:t>①起决定性作用的是党性</w:t>
      </w:r>
    </w:p>
    <w:p w14:paraId="1B9B457D">
      <w:pPr>
        <w:pStyle w:val="2"/>
        <w:spacing w:before="221" w:line="217" w:lineRule="auto"/>
        <w:ind w:left="8"/>
      </w:pPr>
      <w:r>
        <w:rPr>
          <w:spacing w:val="-1"/>
        </w:rPr>
        <w:t>②是坚持和加强党的全面领导的最高原则</w:t>
      </w:r>
    </w:p>
    <w:p w14:paraId="3C54A244">
      <w:pPr>
        <w:pStyle w:val="2"/>
        <w:spacing w:before="222" w:line="217" w:lineRule="auto"/>
        <w:ind w:left="8"/>
      </w:pPr>
      <w:r>
        <w:rPr>
          <w:spacing w:val="-1"/>
        </w:rPr>
        <w:t>③是从思想根源上破解作风顽疾的关键所在</w:t>
      </w:r>
    </w:p>
    <w:p w14:paraId="11D2CE57">
      <w:pPr>
        <w:pStyle w:val="2"/>
        <w:spacing w:before="221" w:line="217" w:lineRule="auto"/>
        <w:ind w:left="8"/>
      </w:pPr>
      <w:r>
        <w:rPr>
          <w:spacing w:val="-1"/>
        </w:rPr>
        <w:t>④要以实事求是为主线加强党的执政能力建设</w:t>
      </w:r>
    </w:p>
    <w:p w14:paraId="0504B281">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7F7144E5">
      <w:pPr>
        <w:pStyle w:val="2"/>
        <w:spacing w:line="220" w:lineRule="auto"/>
      </w:pPr>
      <w:r>
        <w:rPr>
          <w:color w:val="2E75B6"/>
        </w:rPr>
        <w:t>【解析】</w:t>
      </w:r>
    </w:p>
    <w:p w14:paraId="58B11CA6">
      <w:pPr>
        <w:pStyle w:val="2"/>
        <w:spacing w:before="219" w:line="411" w:lineRule="auto"/>
        <w:ind w:left="8" w:right="163" w:hanging="9"/>
      </w:pPr>
      <w:r>
        <w:rPr>
          <w:spacing w:val="-1"/>
        </w:rPr>
        <w:t>【详解】①</w:t>
      </w:r>
      <w:r>
        <w:rPr>
          <w:spacing w:val="-79"/>
        </w:rPr>
        <w:t xml:space="preserve"> </w:t>
      </w:r>
      <w:r>
        <w:rPr>
          <w:spacing w:val="-1"/>
        </w:rPr>
        <w:t>：材料强调政绩观是党员干部思想、立场、作风和行动的“总开关</w:t>
      </w:r>
      <w:r>
        <w:rPr>
          <w:spacing w:val="-77"/>
        </w:rPr>
        <w:t xml:space="preserve"> </w:t>
      </w:r>
      <w:r>
        <w:rPr>
          <w:spacing w:val="-1"/>
        </w:rPr>
        <w:t>”，体现</w:t>
      </w:r>
      <w:r>
        <w:rPr>
          <w:spacing w:val="-2"/>
        </w:rPr>
        <w:t>了树立和践行正确</w:t>
      </w:r>
      <w:r>
        <w:t>政绩观，起决定性作用的是党性，只有党性坚强、摒弃私心杂念，才能保证政绩</w:t>
      </w:r>
      <w:r>
        <w:rPr>
          <w:spacing w:val="-1"/>
        </w:rPr>
        <w:t>观不出偏差，正确。</w:t>
      </w:r>
    </w:p>
    <w:p w14:paraId="1F632A7B">
      <w:pPr>
        <w:pStyle w:val="2"/>
        <w:spacing w:line="217" w:lineRule="auto"/>
        <w:ind w:left="8"/>
      </w:pPr>
      <w:r>
        <w:rPr>
          <w:spacing w:val="-1"/>
        </w:rPr>
        <w:t>②</w:t>
      </w:r>
      <w:r>
        <w:rPr>
          <w:spacing w:val="-74"/>
        </w:rPr>
        <w:t xml:space="preserve"> </w:t>
      </w:r>
      <w:r>
        <w:rPr>
          <w:spacing w:val="-1"/>
        </w:rPr>
        <w:t>：坚持和加强党的全面领导的最高原则是坚决维护党中央权威和集中统一领导，排除。</w:t>
      </w:r>
    </w:p>
    <w:p w14:paraId="14646991">
      <w:pPr>
        <w:pStyle w:val="2"/>
        <w:spacing w:before="220" w:line="316" w:lineRule="auto"/>
        <w:ind w:left="8" w:right="163"/>
      </w:pPr>
      <w:r>
        <w:rPr>
          <w:spacing w:val="-1"/>
        </w:rPr>
        <w:t>③</w:t>
      </w:r>
      <w:r>
        <w:rPr>
          <w:spacing w:val="-67"/>
        </w:rPr>
        <w:t xml:space="preserve"> </w:t>
      </w:r>
      <w:r>
        <w:rPr>
          <w:spacing w:val="-1"/>
        </w:rPr>
        <w:t>：政绩观出现偏差，根子在于党性出了问题。树立和践行正确政绩观，有利于从思想源头上清除私心杂念，是从思想根源上破解作风顽疾的关键所在，正确。</w:t>
      </w:r>
    </w:p>
    <w:p w14:paraId="6A58014E">
      <w:pPr>
        <w:pStyle w:val="2"/>
        <w:spacing w:before="218" w:line="217" w:lineRule="auto"/>
        <w:ind w:left="8"/>
      </w:pPr>
      <w:r>
        <w:rPr>
          <w:spacing w:val="-1"/>
        </w:rPr>
        <w:t>④</w:t>
      </w:r>
      <w:r>
        <w:rPr>
          <w:spacing w:val="-67"/>
        </w:rPr>
        <w:t xml:space="preserve"> </w:t>
      </w:r>
      <w:r>
        <w:rPr>
          <w:spacing w:val="-1"/>
        </w:rPr>
        <w:t>：新时代党的建设的主线是加强党的长期执政能力建设、先进性和纯洁性建设，并非实事求是，排除。</w:t>
      </w:r>
    </w:p>
    <w:p w14:paraId="3A2B566C">
      <w:pPr>
        <w:pStyle w:val="2"/>
        <w:spacing w:before="99" w:line="219" w:lineRule="auto"/>
        <w:ind w:left="4170"/>
      </w:pPr>
      <w:r>
        <w:drawing>
          <wp:anchor distT="0" distB="0" distL="0" distR="0" simplePos="0" relativeHeight="251663360"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5AA7BA87">
      <w:pPr>
        <w:spacing w:line="219" w:lineRule="auto"/>
        <w:sectPr>
          <w:pgSz w:w="11900" w:h="16839"/>
          <w:pgMar w:top="400" w:right="996" w:bottom="0" w:left="1078" w:header="0" w:footer="0" w:gutter="0"/>
          <w:cols w:space="720" w:num="1"/>
        </w:sectPr>
      </w:pPr>
    </w:p>
    <w:p w14:paraId="410DABB0">
      <w:pPr>
        <w:spacing w:line="244" w:lineRule="auto"/>
        <w:rPr>
          <w:rFonts w:ascii="Arial"/>
          <w:sz w:val="21"/>
        </w:rPr>
      </w:pPr>
    </w:p>
    <w:p w14:paraId="6DEFF5EF">
      <w:pPr>
        <w:spacing w:line="245" w:lineRule="auto"/>
        <w:rPr>
          <w:rFonts w:ascii="Arial"/>
          <w:sz w:val="21"/>
        </w:rPr>
      </w:pPr>
    </w:p>
    <w:p w14:paraId="75442038">
      <w:pPr>
        <w:spacing w:line="375" w:lineRule="exact"/>
        <w:ind w:firstLine="1321"/>
      </w:pPr>
    </w:p>
    <w:p w14:paraId="5BFA6266">
      <w:pPr>
        <w:pStyle w:val="2"/>
        <w:spacing w:before="183" w:line="315" w:lineRule="auto"/>
        <w:ind w:left="9" w:right="212"/>
      </w:pPr>
      <w:r>
        <w:rPr>
          <w:rFonts w:ascii="Times New Roman" w:hAnsi="Times New Roman" w:eastAsia="Times New Roman" w:cs="Times New Roman"/>
        </w:rPr>
        <w:t xml:space="preserve">6.  </w:t>
      </w:r>
      <w:r>
        <w:t>在某地农家书屋，城里人拿闲置图书换取村里的新鲜蔬菜。书是读者筛选的，</w:t>
      </w:r>
      <w:r>
        <w:rPr>
          <w:spacing w:val="-1"/>
        </w:rPr>
        <w:t>可读而实用；菜是农民自</w:t>
      </w:r>
      <w:r>
        <w:rPr>
          <w:spacing w:val="-2"/>
        </w:rPr>
        <w:t>种的，新鲜又可口。人气足了，书屋盘活了，文化润心自然</w:t>
      </w:r>
      <w:r>
        <w:rPr>
          <w:spacing w:val="-3"/>
        </w:rPr>
        <w:t>而然。这种“</w:t>
      </w:r>
      <w:r>
        <w:rPr>
          <w:spacing w:val="-73"/>
        </w:rPr>
        <w:t xml:space="preserve"> </w:t>
      </w:r>
      <w:r>
        <w:rPr>
          <w:spacing w:val="-3"/>
        </w:rPr>
        <w:t>以书换蔬</w:t>
      </w:r>
      <w:r>
        <w:rPr>
          <w:spacing w:val="-77"/>
        </w:rPr>
        <w:t xml:space="preserve"> </w:t>
      </w:r>
      <w:r>
        <w:rPr>
          <w:spacing w:val="-3"/>
        </w:rPr>
        <w:t>”活动 (</w:t>
      </w:r>
      <w:r>
        <w:rPr>
          <w:spacing w:val="20"/>
        </w:rPr>
        <w:t xml:space="preserve">   </w:t>
      </w:r>
      <w:r>
        <w:rPr>
          <w:spacing w:val="-3"/>
        </w:rPr>
        <w:t>)</w:t>
      </w:r>
    </w:p>
    <w:p w14:paraId="741661D9">
      <w:pPr>
        <w:pStyle w:val="2"/>
        <w:spacing w:before="219" w:line="217" w:lineRule="auto"/>
        <w:ind w:left="9"/>
      </w:pPr>
      <w:r>
        <w:rPr>
          <w:spacing w:val="-1"/>
        </w:rPr>
        <w:t>①创新基层政务服务方式，拓展书屋文化功能</w:t>
      </w:r>
    </w:p>
    <w:p w14:paraId="74646CA9">
      <w:pPr>
        <w:pStyle w:val="2"/>
        <w:spacing w:before="221" w:line="217" w:lineRule="auto"/>
        <w:ind w:left="8"/>
      </w:pPr>
      <w:r>
        <w:rPr>
          <w:spacing w:val="-1"/>
        </w:rPr>
        <w:t>②发挥人民群众主体作用，促进城乡资源流动</w:t>
      </w:r>
    </w:p>
    <w:p w14:paraId="1F43842F">
      <w:pPr>
        <w:pStyle w:val="2"/>
        <w:spacing w:before="221" w:line="217" w:lineRule="auto"/>
        <w:ind w:left="8"/>
      </w:pPr>
      <w:r>
        <w:rPr>
          <w:spacing w:val="-1"/>
        </w:rPr>
        <w:t>③抓住基层民主管理关键，加强群众自我教育</w:t>
      </w:r>
    </w:p>
    <w:p w14:paraId="335DC01D">
      <w:pPr>
        <w:pStyle w:val="2"/>
        <w:spacing w:before="221" w:line="217" w:lineRule="auto"/>
        <w:ind w:left="8"/>
      </w:pPr>
      <w:r>
        <w:rPr>
          <w:spacing w:val="-1"/>
        </w:rPr>
        <w:t>④满足群众阅读文化需求，让书香为治理赋能</w:t>
      </w:r>
    </w:p>
    <w:p w14:paraId="499184DB">
      <w:pPr>
        <w:pStyle w:val="2"/>
        <w:spacing w:before="221"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1C1E6DFC">
      <w:pPr>
        <w:pStyle w:val="2"/>
        <w:spacing w:line="220" w:lineRule="auto"/>
      </w:pPr>
      <w:r>
        <w:rPr>
          <w:color w:val="2E75B6"/>
        </w:rPr>
        <w:t>【解析】</w:t>
      </w:r>
    </w:p>
    <w:p w14:paraId="44D56D0D">
      <w:pPr>
        <w:pStyle w:val="2"/>
        <w:spacing w:before="214" w:line="411" w:lineRule="auto"/>
        <w:ind w:left="13" w:right="184" w:hanging="14"/>
      </w:pPr>
      <w:r>
        <w:rPr>
          <w:spacing w:val="-2"/>
        </w:rPr>
        <w:t>【详解】①：</w:t>
      </w:r>
      <w:r>
        <w:rPr>
          <w:rFonts w:ascii="Times New Roman" w:hAnsi="Times New Roman" w:eastAsia="Times New Roman" w:cs="Times New Roman"/>
          <w:spacing w:val="-2"/>
        </w:rPr>
        <w:t>“</w:t>
      </w:r>
      <w:r>
        <w:rPr>
          <w:spacing w:val="-2"/>
        </w:rPr>
        <w:t>以书换蔬</w:t>
      </w:r>
      <w:r>
        <w:rPr>
          <w:rFonts w:ascii="Times New Roman" w:hAnsi="Times New Roman" w:eastAsia="Times New Roman" w:cs="Times New Roman"/>
          <w:spacing w:val="-2"/>
        </w:rPr>
        <w:t>”</w:t>
      </w:r>
      <w:r>
        <w:rPr>
          <w:spacing w:val="-2"/>
        </w:rPr>
        <w:t>是群众自发的文化交换活动，不属于基层政务服务范畴，没有</w:t>
      </w:r>
      <w:r>
        <w:rPr>
          <w:spacing w:val="-3"/>
        </w:rPr>
        <w:t>创新基层政务服务方式，排除。</w:t>
      </w:r>
    </w:p>
    <w:p w14:paraId="07EA6FE8">
      <w:pPr>
        <w:pStyle w:val="2"/>
        <w:spacing w:before="2" w:line="316" w:lineRule="auto"/>
        <w:ind w:left="10" w:right="102" w:hanging="2"/>
      </w:pPr>
      <w:r>
        <w:rPr>
          <w:spacing w:val="-2"/>
        </w:rPr>
        <w:t>②</w:t>
      </w:r>
      <w:r>
        <w:rPr>
          <w:spacing w:val="-66"/>
        </w:rPr>
        <w:t xml:space="preserve"> </w:t>
      </w:r>
      <w:r>
        <w:rPr>
          <w:spacing w:val="-2"/>
        </w:rPr>
        <w:t>：活动由城乡群众共同参与，实现了城市闲置图书和农村新鲜蔬菜的互换，发挥了人民群众的主体作用，</w:t>
      </w:r>
      <w:r>
        <w:rPr>
          <w:spacing w:val="-1"/>
        </w:rPr>
        <w:t>促进了城乡资源的双向流动，正确。</w:t>
      </w:r>
    </w:p>
    <w:p w14:paraId="4307014A">
      <w:pPr>
        <w:pStyle w:val="2"/>
        <w:spacing w:before="216" w:line="317" w:lineRule="auto"/>
        <w:ind w:left="13" w:right="102" w:hanging="5"/>
      </w:pPr>
      <w:r>
        <w:rPr>
          <w:spacing w:val="-2"/>
        </w:rPr>
        <w:t>③</w:t>
      </w:r>
      <w:r>
        <w:rPr>
          <w:spacing w:val="-66"/>
        </w:rPr>
        <w:t xml:space="preserve"> </w:t>
      </w:r>
      <w:r>
        <w:rPr>
          <w:spacing w:val="-2"/>
        </w:rPr>
        <w:t>：基层民主管理的关键是依法制定自治章程和议事规则，推动日常管理工作的制度化、规范化、程序化，</w:t>
      </w:r>
      <w:r>
        <w:rPr>
          <w:spacing w:val="-1"/>
        </w:rPr>
        <w:t>该活动属于文化服务类活动，未涉及基层民主管理内容，排除。</w:t>
      </w:r>
    </w:p>
    <w:p w14:paraId="3785170A">
      <w:pPr>
        <w:pStyle w:val="2"/>
        <w:spacing w:before="214" w:line="318" w:lineRule="auto"/>
        <w:ind w:left="17" w:right="265" w:hanging="9"/>
      </w:pPr>
      <w:r>
        <w:rPr>
          <w:spacing w:val="-1"/>
        </w:rPr>
        <w:t>④</w:t>
      </w:r>
      <w:r>
        <w:rPr>
          <w:spacing w:val="-67"/>
        </w:rPr>
        <w:t xml:space="preserve"> </w:t>
      </w:r>
      <w:r>
        <w:rPr>
          <w:spacing w:val="-1"/>
        </w:rPr>
        <w:t>：该活动盘活了农家书屋，满足了群众的阅读文化需求，同时通过文化润心聚拢人气，能为基层治理赋</w:t>
      </w:r>
      <w:r>
        <w:rPr>
          <w:spacing w:val="-4"/>
        </w:rPr>
        <w:t>能，正确。</w:t>
      </w:r>
    </w:p>
    <w:p w14:paraId="0FCB6AB2">
      <w:pPr>
        <w:pStyle w:val="2"/>
        <w:spacing w:before="219" w:line="363" w:lineRule="auto"/>
        <w:ind w:left="11" w:hanging="2"/>
      </w:pPr>
      <w:r>
        <w:rPr>
          <w:rFonts w:ascii="Times New Roman" w:hAnsi="Times New Roman" w:eastAsia="Times New Roman" w:cs="Times New Roman"/>
          <w:spacing w:val="-6"/>
        </w:rPr>
        <w:t xml:space="preserve">7. </w:t>
      </w:r>
      <w:r>
        <w:rPr>
          <w:spacing w:val="-6"/>
        </w:rPr>
        <w:t>“老</w:t>
      </w:r>
      <w:r>
        <w:rPr>
          <w:spacing w:val="-77"/>
        </w:rPr>
        <w:t xml:space="preserve"> </w:t>
      </w:r>
      <w:r>
        <w:rPr>
          <w:spacing w:val="-6"/>
        </w:rPr>
        <w:t>”是我们的财富，“小</w:t>
      </w:r>
      <w:r>
        <w:rPr>
          <w:spacing w:val="-77"/>
        </w:rPr>
        <w:t xml:space="preserve"> </w:t>
      </w:r>
      <w:r>
        <w:rPr>
          <w:spacing w:val="-6"/>
        </w:rPr>
        <w:t>”是我们的未来。“一老一小</w:t>
      </w:r>
      <w:r>
        <w:rPr>
          <w:spacing w:val="-77"/>
        </w:rPr>
        <w:t xml:space="preserve"> </w:t>
      </w:r>
      <w:r>
        <w:rPr>
          <w:spacing w:val="-6"/>
        </w:rPr>
        <w:t>”服务是广大群众非常关心</w:t>
      </w:r>
      <w:r>
        <w:rPr>
          <w:spacing w:val="-7"/>
        </w:rPr>
        <w:t>的现实问题，也是投</w:t>
      </w:r>
      <w:r>
        <w:t xml:space="preserve"> </w:t>
      </w:r>
      <w:r>
        <w:rPr>
          <w:spacing w:val="-4"/>
        </w:rPr>
        <w:t>资于人的重点领域。“十五五</w:t>
      </w:r>
      <w:r>
        <w:rPr>
          <w:spacing w:val="-77"/>
        </w:rPr>
        <w:t xml:space="preserve"> </w:t>
      </w:r>
      <w:r>
        <w:rPr>
          <w:spacing w:val="-4"/>
        </w:rPr>
        <w:t>”规划《纲要》设置专栏，明确了养老机构、社区养老、医养结合、普惠托</w:t>
      </w:r>
      <w:r>
        <w:rPr>
          <w:spacing w:val="-5"/>
        </w:rPr>
        <w:t>育、</w:t>
      </w:r>
      <w:r>
        <w:rPr>
          <w:spacing w:val="-2"/>
        </w:rPr>
        <w:t>生育医疗服务等</w:t>
      </w:r>
      <w:r>
        <w:rPr>
          <w:spacing w:val="-43"/>
        </w:rPr>
        <w:t xml:space="preserve"> </w:t>
      </w:r>
      <w:r>
        <w:rPr>
          <w:rFonts w:ascii="Times New Roman" w:hAnsi="Times New Roman" w:eastAsia="Times New Roman" w:cs="Times New Roman"/>
          <w:spacing w:val="-2"/>
        </w:rPr>
        <w:t xml:space="preserve">5 </w:t>
      </w:r>
      <w:r>
        <w:rPr>
          <w:spacing w:val="-2"/>
        </w:rPr>
        <w:t>项工程建设任务，统筹“硬投资</w:t>
      </w:r>
      <w:r>
        <w:rPr>
          <w:spacing w:val="-77"/>
        </w:rPr>
        <w:t xml:space="preserve"> </w:t>
      </w:r>
      <w:r>
        <w:rPr>
          <w:spacing w:val="-2"/>
        </w:rPr>
        <w:t>”和“软建设</w:t>
      </w:r>
      <w:r>
        <w:rPr>
          <w:spacing w:val="-77"/>
        </w:rPr>
        <w:t xml:space="preserve"> </w:t>
      </w:r>
      <w:r>
        <w:rPr>
          <w:spacing w:val="-2"/>
        </w:rPr>
        <w:t>”，造福亿万家</w:t>
      </w:r>
      <w:r>
        <w:rPr>
          <w:spacing w:val="-3"/>
        </w:rPr>
        <w:t>庭。做好“一老一小</w:t>
      </w:r>
      <w:r>
        <w:rPr>
          <w:spacing w:val="-77"/>
        </w:rPr>
        <w:t xml:space="preserve"> </w:t>
      </w:r>
      <w:r>
        <w:rPr>
          <w:spacing w:val="-3"/>
        </w:rPr>
        <w:t>”服</w:t>
      </w:r>
      <w:r>
        <w:t xml:space="preserve"> </w:t>
      </w:r>
      <w:r>
        <w:rPr>
          <w:spacing w:val="-10"/>
        </w:rPr>
        <w:t>务是基于</w:t>
      </w:r>
      <w:r>
        <w:rPr>
          <w:spacing w:val="18"/>
        </w:rPr>
        <w:t xml:space="preserve"> </w:t>
      </w:r>
      <w:r>
        <w:rPr>
          <w:spacing w:val="-10"/>
        </w:rPr>
        <w:t>(</w:t>
      </w:r>
      <w:r>
        <w:rPr>
          <w:spacing w:val="20"/>
        </w:rPr>
        <w:t xml:space="preserve">   </w:t>
      </w:r>
      <w:r>
        <w:rPr>
          <w:spacing w:val="-10"/>
        </w:rPr>
        <w:t>)</w:t>
      </w:r>
    </w:p>
    <w:p w14:paraId="7AA857DD">
      <w:pPr>
        <w:pStyle w:val="2"/>
        <w:spacing w:before="219" w:line="217" w:lineRule="auto"/>
        <w:ind w:left="9"/>
      </w:pPr>
      <w:r>
        <w:t>①物质生活资料生产和人口再生产的辩证统一</w:t>
      </w:r>
    </w:p>
    <w:p w14:paraId="50AD1294">
      <w:pPr>
        <w:pStyle w:val="2"/>
        <w:spacing w:before="221" w:line="217" w:lineRule="auto"/>
        <w:ind w:left="8"/>
      </w:pPr>
      <w:r>
        <w:rPr>
          <w:spacing w:val="-2"/>
        </w:rPr>
        <w:t>②“小</w:t>
      </w:r>
      <w:r>
        <w:rPr>
          <w:spacing w:val="-71"/>
        </w:rPr>
        <w:t xml:space="preserve"> </w:t>
      </w:r>
      <w:r>
        <w:rPr>
          <w:spacing w:val="-2"/>
        </w:rPr>
        <w:t>”是未来生产力发展中重要的主体性因素</w:t>
      </w:r>
    </w:p>
    <w:p w14:paraId="749929BE">
      <w:pPr>
        <w:pStyle w:val="2"/>
        <w:spacing w:before="221" w:line="217" w:lineRule="auto"/>
        <w:ind w:left="8"/>
      </w:pPr>
      <w:r>
        <w:rPr>
          <w:spacing w:val="-1"/>
        </w:rPr>
        <w:t>③把握矛盾的主要方面，现实问题就能迎刃而解</w:t>
      </w:r>
    </w:p>
    <w:p w14:paraId="17152721">
      <w:pPr>
        <w:pStyle w:val="2"/>
        <w:spacing w:before="221" w:line="217" w:lineRule="auto"/>
        <w:ind w:left="8"/>
      </w:pPr>
      <w:r>
        <w:rPr>
          <w:spacing w:val="-3"/>
        </w:rPr>
        <w:t>④“老</w:t>
      </w:r>
      <w:r>
        <w:rPr>
          <w:spacing w:val="-78"/>
        </w:rPr>
        <w:t xml:space="preserve"> </w:t>
      </w:r>
      <w:r>
        <w:rPr>
          <w:spacing w:val="-3"/>
        </w:rPr>
        <w:t>”与“小</w:t>
      </w:r>
      <w:r>
        <w:rPr>
          <w:spacing w:val="-77"/>
        </w:rPr>
        <w:t xml:space="preserve"> </w:t>
      </w:r>
      <w:r>
        <w:rPr>
          <w:spacing w:val="-3"/>
        </w:rPr>
        <w:t>”矛盾双方相互依存、相互转化</w:t>
      </w:r>
    </w:p>
    <w:p w14:paraId="393B303A">
      <w:pPr>
        <w:pStyle w:val="2"/>
        <w:spacing w:before="222"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5236B3EB">
      <w:pPr>
        <w:pStyle w:val="2"/>
        <w:spacing w:line="220" w:lineRule="auto"/>
      </w:pPr>
      <w:r>
        <w:rPr>
          <w:color w:val="2E75B6"/>
        </w:rPr>
        <w:t>【解析】</w:t>
      </w:r>
    </w:p>
    <w:p w14:paraId="6B36D93D">
      <w:pPr>
        <w:pStyle w:val="2"/>
        <w:spacing w:before="213" w:line="360" w:lineRule="auto"/>
        <w:ind w:left="10" w:right="179" w:hanging="10"/>
      </w:pPr>
      <w:r>
        <w:rPr>
          <w:spacing w:val="-6"/>
        </w:rPr>
        <w:t>【详解】①：物质生活资料生产是人类社会存在和发展的基础，</w:t>
      </w:r>
      <w:r>
        <w:rPr>
          <w:rFonts w:ascii="Times New Roman" w:hAnsi="Times New Roman" w:eastAsia="Times New Roman" w:cs="Times New Roman"/>
          <w:spacing w:val="-6"/>
        </w:rPr>
        <w:t>“</w:t>
      </w:r>
      <w:r>
        <w:rPr>
          <w:spacing w:val="-6"/>
        </w:rPr>
        <w:t>老</w:t>
      </w:r>
      <w:r>
        <w:rPr>
          <w:rFonts w:ascii="Times New Roman" w:hAnsi="Times New Roman" w:eastAsia="Times New Roman" w:cs="Times New Roman"/>
          <w:spacing w:val="-6"/>
        </w:rPr>
        <w:t>”</w:t>
      </w:r>
      <w:r>
        <w:rPr>
          <w:spacing w:val="-6"/>
        </w:rPr>
        <w:t>承载了既往物质生产的贡献，</w:t>
      </w:r>
      <w:r>
        <w:rPr>
          <w:rFonts w:ascii="Times New Roman" w:hAnsi="Times New Roman" w:eastAsia="Times New Roman" w:cs="Times New Roman"/>
          <w:spacing w:val="-6"/>
        </w:rPr>
        <w:t>“</w:t>
      </w:r>
      <w:r>
        <w:rPr>
          <w:spacing w:val="-6"/>
        </w:rPr>
        <w:t>小</w:t>
      </w:r>
      <w:r>
        <w:rPr>
          <w:rFonts w:ascii="Times New Roman" w:hAnsi="Times New Roman" w:eastAsia="Times New Roman" w:cs="Times New Roman"/>
          <w:spacing w:val="-6"/>
        </w:rPr>
        <w:t>”</w:t>
      </w:r>
      <w:r>
        <w:rPr>
          <w:spacing w:val="-6"/>
        </w:rPr>
        <w:t>关系未</w:t>
      </w:r>
      <w:r>
        <w:t>来人口再生产的延续，做好</w:t>
      </w:r>
      <w:r>
        <w:rPr>
          <w:rFonts w:ascii="Times New Roman" w:hAnsi="Times New Roman" w:eastAsia="Times New Roman" w:cs="Times New Roman"/>
        </w:rPr>
        <w:t>“</w:t>
      </w:r>
      <w:r>
        <w:t>一老一小</w:t>
      </w:r>
      <w:r>
        <w:rPr>
          <w:rFonts w:ascii="Times New Roman" w:hAnsi="Times New Roman" w:eastAsia="Times New Roman" w:cs="Times New Roman"/>
        </w:rPr>
        <w:t>”</w:t>
      </w:r>
      <w:r>
        <w:t>服务体现</w:t>
      </w:r>
      <w:r>
        <w:rPr>
          <w:spacing w:val="-1"/>
        </w:rPr>
        <w:t>二者的辩证统一，正确。</w:t>
      </w:r>
    </w:p>
    <w:p w14:paraId="7C68E122">
      <w:pPr>
        <w:pStyle w:val="2"/>
        <w:spacing w:before="1"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59073F6F">
      <w:pPr>
        <w:spacing w:line="219" w:lineRule="auto"/>
        <w:sectPr>
          <w:pgSz w:w="11900" w:h="16839"/>
          <w:pgMar w:top="400" w:right="893" w:bottom="0" w:left="1078" w:header="0" w:footer="0" w:gutter="0"/>
          <w:cols w:space="720" w:num="1"/>
        </w:sectPr>
      </w:pPr>
    </w:p>
    <w:p w14:paraId="7B8050A9">
      <w:pPr>
        <w:spacing w:line="244" w:lineRule="auto"/>
        <w:rPr>
          <w:rFonts w:ascii="Arial"/>
          <w:sz w:val="21"/>
        </w:rPr>
      </w:pPr>
    </w:p>
    <w:p w14:paraId="04021196">
      <w:pPr>
        <w:spacing w:line="245" w:lineRule="auto"/>
        <w:rPr>
          <w:rFonts w:ascii="Arial"/>
          <w:sz w:val="21"/>
        </w:rPr>
      </w:pPr>
    </w:p>
    <w:p w14:paraId="1C2515AA">
      <w:pPr>
        <w:spacing w:line="375" w:lineRule="exact"/>
        <w:ind w:firstLine="1321"/>
      </w:pPr>
    </w:p>
    <w:p w14:paraId="2D9C1A35">
      <w:pPr>
        <w:pStyle w:val="2"/>
        <w:spacing w:before="179" w:line="315" w:lineRule="auto"/>
        <w:ind w:left="12" w:right="172" w:hanging="4"/>
      </w:pPr>
      <w:r>
        <w:rPr>
          <w:spacing w:val="-3"/>
        </w:rPr>
        <w:t>②</w:t>
      </w:r>
      <w:r>
        <w:rPr>
          <w:spacing w:val="-74"/>
        </w:rPr>
        <w:t xml:space="preserve"> </w:t>
      </w:r>
      <w:r>
        <w:rPr>
          <w:spacing w:val="-3"/>
        </w:rPr>
        <w:t>：劳动者是生产力中最具决定性的主体性因素，</w:t>
      </w:r>
      <w:r>
        <w:rPr>
          <w:rFonts w:ascii="Times New Roman" w:hAnsi="Times New Roman" w:eastAsia="Times New Roman" w:cs="Times New Roman"/>
          <w:spacing w:val="-3"/>
        </w:rPr>
        <w:t>“</w:t>
      </w:r>
      <w:r>
        <w:rPr>
          <w:spacing w:val="-3"/>
        </w:rPr>
        <w:t>小</w:t>
      </w:r>
      <w:r>
        <w:rPr>
          <w:rFonts w:ascii="Times New Roman" w:hAnsi="Times New Roman" w:eastAsia="Times New Roman" w:cs="Times New Roman"/>
          <w:spacing w:val="-3"/>
        </w:rPr>
        <w:t>”</w:t>
      </w:r>
      <w:r>
        <w:rPr>
          <w:spacing w:val="-3"/>
        </w:rPr>
        <w:t>是未来的劳动者，是未来生产力发展的重要主体性因</w:t>
      </w:r>
      <w:r>
        <w:rPr>
          <w:spacing w:val="-1"/>
        </w:rPr>
        <w:t>素，因此要将</w:t>
      </w:r>
      <w:r>
        <w:rPr>
          <w:rFonts w:ascii="Times New Roman" w:hAnsi="Times New Roman" w:eastAsia="Times New Roman" w:cs="Times New Roman"/>
          <w:spacing w:val="-1"/>
        </w:rPr>
        <w:t>“</w:t>
      </w:r>
      <w:r>
        <w:rPr>
          <w:spacing w:val="-1"/>
        </w:rPr>
        <w:t>一老一小</w:t>
      </w:r>
      <w:r>
        <w:rPr>
          <w:rFonts w:ascii="Times New Roman" w:hAnsi="Times New Roman" w:eastAsia="Times New Roman" w:cs="Times New Roman"/>
          <w:spacing w:val="-1"/>
        </w:rPr>
        <w:t>”</w:t>
      </w:r>
      <w:r>
        <w:rPr>
          <w:spacing w:val="-1"/>
        </w:rPr>
        <w:t>作为投资于人的重点领域，正确。</w:t>
      </w:r>
    </w:p>
    <w:p w14:paraId="58F10BDE">
      <w:pPr>
        <w:pStyle w:val="2"/>
        <w:spacing w:before="218" w:line="316" w:lineRule="auto"/>
        <w:ind w:left="9" w:right="168" w:hanging="1"/>
      </w:pPr>
      <w:r>
        <w:rPr>
          <w:spacing w:val="-1"/>
        </w:rPr>
        <w:t>③</w:t>
      </w:r>
      <w:r>
        <w:rPr>
          <w:spacing w:val="-73"/>
        </w:rPr>
        <w:t xml:space="preserve"> </w:t>
      </w:r>
      <w:r>
        <w:rPr>
          <w:spacing w:val="-1"/>
        </w:rPr>
        <w:t>：把握矛盾主要方面是用于认识事物性质的，解决问题需要抓住主要矛盾，且</w:t>
      </w:r>
      <w:r>
        <w:rPr>
          <w:rFonts w:ascii="Times New Roman" w:hAnsi="Times New Roman" w:eastAsia="Times New Roman" w:cs="Times New Roman"/>
          <w:spacing w:val="-1"/>
        </w:rPr>
        <w:t>“</w:t>
      </w:r>
      <w:r>
        <w:rPr>
          <w:spacing w:val="-1"/>
        </w:rPr>
        <w:t>把握主要方面就能解决问题</w:t>
      </w:r>
      <w:r>
        <w:rPr>
          <w:rFonts w:ascii="Times New Roman" w:hAnsi="Times New Roman" w:eastAsia="Times New Roman" w:cs="Times New Roman"/>
          <w:spacing w:val="-1"/>
        </w:rPr>
        <w:t>”</w:t>
      </w:r>
      <w:r>
        <w:rPr>
          <w:spacing w:val="-1"/>
        </w:rPr>
        <w:t>的表述过于绝对，错误。</w:t>
      </w:r>
    </w:p>
    <w:p w14:paraId="61542BAB">
      <w:pPr>
        <w:pStyle w:val="2"/>
        <w:spacing w:before="216" w:line="217" w:lineRule="auto"/>
        <w:ind w:left="8"/>
      </w:pPr>
      <w:r>
        <w:rPr>
          <w:spacing w:val="-1"/>
        </w:rPr>
        <w:t>④</w:t>
      </w:r>
      <w:r>
        <w:rPr>
          <w:spacing w:val="-69"/>
        </w:rPr>
        <w:t xml:space="preserve"> </w:t>
      </w:r>
      <w:r>
        <w:rPr>
          <w:spacing w:val="-1"/>
        </w:rPr>
        <w:t>：材料未体现</w:t>
      </w:r>
      <w:r>
        <w:rPr>
          <w:rFonts w:ascii="Times New Roman" w:hAnsi="Times New Roman" w:eastAsia="Times New Roman" w:cs="Times New Roman"/>
          <w:spacing w:val="-1"/>
        </w:rPr>
        <w:t>“</w:t>
      </w:r>
      <w:r>
        <w:rPr>
          <w:spacing w:val="-1"/>
        </w:rPr>
        <w:t>老</w:t>
      </w:r>
      <w:r>
        <w:rPr>
          <w:rFonts w:ascii="Times New Roman" w:hAnsi="Times New Roman" w:eastAsia="Times New Roman" w:cs="Times New Roman"/>
          <w:spacing w:val="-1"/>
        </w:rPr>
        <w:t>”</w:t>
      </w:r>
      <w:r>
        <w:rPr>
          <w:spacing w:val="-1"/>
        </w:rPr>
        <w:t>与</w:t>
      </w:r>
      <w:r>
        <w:rPr>
          <w:rFonts w:ascii="Times New Roman" w:hAnsi="Times New Roman" w:eastAsia="Times New Roman" w:cs="Times New Roman"/>
          <w:spacing w:val="-1"/>
        </w:rPr>
        <w:t>“</w:t>
      </w:r>
      <w:r>
        <w:rPr>
          <w:spacing w:val="-1"/>
        </w:rPr>
        <w:t>小</w:t>
      </w:r>
      <w:r>
        <w:rPr>
          <w:rFonts w:ascii="Times New Roman" w:hAnsi="Times New Roman" w:eastAsia="Times New Roman" w:cs="Times New Roman"/>
          <w:spacing w:val="-1"/>
        </w:rPr>
        <w:t>”</w:t>
      </w:r>
      <w:r>
        <w:rPr>
          <w:spacing w:val="-1"/>
        </w:rPr>
        <w:t>矛盾双方的相互转化，也不是做好</w:t>
      </w:r>
      <w:r>
        <w:rPr>
          <w:rFonts w:ascii="Times New Roman" w:hAnsi="Times New Roman" w:eastAsia="Times New Roman" w:cs="Times New Roman"/>
          <w:spacing w:val="-1"/>
        </w:rPr>
        <w:t>“</w:t>
      </w:r>
      <w:r>
        <w:rPr>
          <w:spacing w:val="-1"/>
        </w:rPr>
        <w:t>一老一小</w:t>
      </w:r>
      <w:r>
        <w:rPr>
          <w:rFonts w:ascii="Times New Roman" w:hAnsi="Times New Roman" w:eastAsia="Times New Roman" w:cs="Times New Roman"/>
          <w:spacing w:val="-1"/>
        </w:rPr>
        <w:t>”</w:t>
      </w:r>
      <w:r>
        <w:rPr>
          <w:spacing w:val="-1"/>
        </w:rPr>
        <w:t>服务的原因，错误。</w:t>
      </w:r>
    </w:p>
    <w:p w14:paraId="19D3EBAC">
      <w:pPr>
        <w:pStyle w:val="2"/>
        <w:spacing w:before="224" w:line="348" w:lineRule="auto"/>
        <w:ind w:left="10" w:right="201" w:firstLine="3"/>
      </w:pPr>
      <w:r>
        <w:rPr>
          <w:rFonts w:ascii="Times New Roman" w:hAnsi="Times New Roman" w:eastAsia="Times New Roman" w:cs="Times New Roman"/>
          <w:spacing w:val="-1"/>
        </w:rPr>
        <w:t>8.</w:t>
      </w:r>
      <w:r>
        <w:rPr>
          <w:rFonts w:ascii="Times New Roman" w:hAnsi="Times New Roman" w:eastAsia="Times New Roman" w:cs="Times New Roman"/>
          <w:spacing w:val="21"/>
          <w:w w:val="101"/>
        </w:rPr>
        <w:t xml:space="preserve">  </w:t>
      </w:r>
      <w:r>
        <w:rPr>
          <w:spacing w:val="-1"/>
        </w:rPr>
        <w:t>自然通过人的活动进入人的历史，成为参与人类历史进程的活力元素；人主动参</w:t>
      </w:r>
      <w:r>
        <w:rPr>
          <w:spacing w:val="-2"/>
        </w:rPr>
        <w:t>与自然的演化，不仅通</w:t>
      </w:r>
      <w:r>
        <w:rPr>
          <w:spacing w:val="-1"/>
        </w:rPr>
        <w:t>过思想反映自然，更是以实践方式改造自然。人类在与自然的“互塑</w:t>
      </w:r>
      <w:r>
        <w:rPr>
          <w:spacing w:val="-70"/>
        </w:rPr>
        <w:t xml:space="preserve"> </w:t>
      </w:r>
      <w:r>
        <w:rPr>
          <w:spacing w:val="-1"/>
        </w:rPr>
        <w:t>”中获得碧水清流、麦香稻浪、诗意</w:t>
      </w:r>
      <w:r>
        <w:rPr>
          <w:spacing w:val="-3"/>
        </w:rPr>
        <w:t>栖居。对此理解正确的是 (</w:t>
      </w:r>
      <w:r>
        <w:rPr>
          <w:spacing w:val="20"/>
        </w:rPr>
        <w:t xml:space="preserve">   </w:t>
      </w:r>
      <w:r>
        <w:rPr>
          <w:spacing w:val="-3"/>
        </w:rPr>
        <w:t>)</w:t>
      </w:r>
    </w:p>
    <w:p w14:paraId="75F85A17">
      <w:pPr>
        <w:pStyle w:val="2"/>
        <w:spacing w:before="218" w:line="217" w:lineRule="auto"/>
        <w:ind w:left="9"/>
      </w:pPr>
      <w:r>
        <w:rPr>
          <w:spacing w:val="-1"/>
        </w:rPr>
        <w:t>①自然史与人类史从来就是彼此制约的</w:t>
      </w:r>
    </w:p>
    <w:p w14:paraId="7335B918">
      <w:pPr>
        <w:pStyle w:val="2"/>
        <w:spacing w:before="222" w:line="217" w:lineRule="auto"/>
        <w:ind w:left="8"/>
      </w:pPr>
      <w:r>
        <w:rPr>
          <w:spacing w:val="-1"/>
        </w:rPr>
        <w:t>②人属于自然界并存在于自然界之中</w:t>
      </w:r>
    </w:p>
    <w:p w14:paraId="07FA6CEB">
      <w:pPr>
        <w:pStyle w:val="2"/>
        <w:spacing w:before="221" w:line="217" w:lineRule="auto"/>
        <w:ind w:left="8"/>
      </w:pPr>
      <w:r>
        <w:rPr>
          <w:spacing w:val="-1"/>
        </w:rPr>
        <w:t>③自然的价值在于人对自然的积极意义</w:t>
      </w:r>
    </w:p>
    <w:p w14:paraId="6CBCE82F">
      <w:pPr>
        <w:pStyle w:val="2"/>
        <w:spacing w:before="221" w:line="217" w:lineRule="auto"/>
        <w:ind w:left="8"/>
      </w:pPr>
      <w:r>
        <w:rPr>
          <w:spacing w:val="-1"/>
        </w:rPr>
        <w:t>④人与自然和谐共生是人类发展的永恒主题</w:t>
      </w:r>
    </w:p>
    <w:p w14:paraId="7977C873">
      <w:pPr>
        <w:pStyle w:val="2"/>
        <w:spacing w:before="222" w:line="411" w:lineRule="auto"/>
        <w:ind w:right="1928"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7F4C0961">
      <w:pPr>
        <w:pStyle w:val="2"/>
        <w:spacing w:line="220" w:lineRule="auto"/>
      </w:pPr>
      <w:r>
        <w:rPr>
          <w:color w:val="2E75B6"/>
        </w:rPr>
        <w:t>【解析】</w:t>
      </w:r>
    </w:p>
    <w:p w14:paraId="244E4841">
      <w:pPr>
        <w:pStyle w:val="2"/>
        <w:spacing w:before="218" w:line="411" w:lineRule="auto"/>
        <w:ind w:left="8" w:right="254" w:hanging="9"/>
      </w:pPr>
      <w:r>
        <w:rPr>
          <w:spacing w:val="-1"/>
        </w:rPr>
        <w:t>【详解】①</w:t>
      </w:r>
      <w:r>
        <w:rPr>
          <w:spacing w:val="-78"/>
        </w:rPr>
        <w:t xml:space="preserve"> </w:t>
      </w:r>
      <w:r>
        <w:rPr>
          <w:spacing w:val="-1"/>
        </w:rPr>
        <w:t>：</w:t>
      </w:r>
      <w:r>
        <w:rPr>
          <w:spacing w:val="-63"/>
        </w:rPr>
        <w:t xml:space="preserve"> </w:t>
      </w:r>
      <w:r>
        <w:rPr>
          <w:spacing w:val="-1"/>
        </w:rPr>
        <w:t>自然参与人类历史进程，人改造自然演</w:t>
      </w:r>
      <w:r>
        <w:rPr>
          <w:spacing w:val="-2"/>
        </w:rPr>
        <w:t>化，体现了自然史与人类史彼此制约、相互影响，正</w:t>
      </w:r>
      <w:r>
        <w:rPr>
          <w:spacing w:val="-5"/>
        </w:rPr>
        <w:t>确。</w:t>
      </w:r>
    </w:p>
    <w:p w14:paraId="2416E9A3">
      <w:pPr>
        <w:pStyle w:val="2"/>
        <w:spacing w:before="1" w:line="217" w:lineRule="auto"/>
        <w:ind w:left="8"/>
      </w:pPr>
      <w:r>
        <w:rPr>
          <w:spacing w:val="-2"/>
        </w:rPr>
        <w:t>②</w:t>
      </w:r>
      <w:r>
        <w:rPr>
          <w:spacing w:val="-79"/>
        </w:rPr>
        <w:t xml:space="preserve"> </w:t>
      </w:r>
      <w:r>
        <w:rPr>
          <w:spacing w:val="-2"/>
        </w:rPr>
        <w:t>：材料核心是人与自然的“互塑</w:t>
      </w:r>
      <w:r>
        <w:rPr>
          <w:spacing w:val="-77"/>
        </w:rPr>
        <w:t xml:space="preserve"> </w:t>
      </w:r>
      <w:r>
        <w:rPr>
          <w:spacing w:val="-2"/>
        </w:rPr>
        <w:t>”关系，而非强调“</w:t>
      </w:r>
      <w:r>
        <w:rPr>
          <w:spacing w:val="-3"/>
        </w:rPr>
        <w:t>人属于自然界</w:t>
      </w:r>
      <w:r>
        <w:rPr>
          <w:spacing w:val="-77"/>
        </w:rPr>
        <w:t xml:space="preserve"> </w:t>
      </w:r>
      <w:r>
        <w:rPr>
          <w:spacing w:val="-3"/>
        </w:rPr>
        <w:t>”的属性，排除。</w:t>
      </w:r>
    </w:p>
    <w:p w14:paraId="08C54B3C">
      <w:pPr>
        <w:pStyle w:val="2"/>
        <w:spacing w:before="221" w:line="217" w:lineRule="auto"/>
        <w:ind w:left="8"/>
      </w:pPr>
      <w:r>
        <w:rPr>
          <w:spacing w:val="-2"/>
        </w:rPr>
        <w:t>③</w:t>
      </w:r>
      <w:r>
        <w:rPr>
          <w:spacing w:val="-79"/>
        </w:rPr>
        <w:t xml:space="preserve"> </w:t>
      </w:r>
      <w:r>
        <w:rPr>
          <w:spacing w:val="-2"/>
        </w:rPr>
        <w:t>：价值是客体对主体的积极意义，</w:t>
      </w:r>
      <w:r>
        <w:rPr>
          <w:spacing w:val="-62"/>
        </w:rPr>
        <w:t xml:space="preserve"> </w:t>
      </w:r>
      <w:r>
        <w:rPr>
          <w:spacing w:val="-2"/>
        </w:rPr>
        <w:t>自然的价值是自然对人的积</w:t>
      </w:r>
      <w:r>
        <w:rPr>
          <w:spacing w:val="-3"/>
        </w:rPr>
        <w:t>极意义，正确。</w:t>
      </w:r>
    </w:p>
    <w:p w14:paraId="52190D2F">
      <w:pPr>
        <w:pStyle w:val="2"/>
        <w:spacing w:before="221" w:line="217" w:lineRule="auto"/>
        <w:ind w:left="8"/>
      </w:pPr>
      <w:r>
        <w:rPr>
          <w:spacing w:val="-1"/>
        </w:rPr>
        <w:t>④</w:t>
      </w:r>
      <w:r>
        <w:rPr>
          <w:spacing w:val="-73"/>
        </w:rPr>
        <w:t xml:space="preserve"> </w:t>
      </w:r>
      <w:r>
        <w:rPr>
          <w:spacing w:val="-1"/>
        </w:rPr>
        <w:t>：人类在人与自然的互塑中实现诗意栖居，说明和谐共生是人类发展的永恒主题，正确。</w:t>
      </w:r>
    </w:p>
    <w:p w14:paraId="0F3CBB93">
      <w:pPr>
        <w:pStyle w:val="2"/>
        <w:spacing w:before="222" w:line="347" w:lineRule="auto"/>
        <w:ind w:left="12" w:hanging="2"/>
      </w:pPr>
      <w:r>
        <w:rPr>
          <w:rFonts w:ascii="Times New Roman" w:hAnsi="Times New Roman" w:eastAsia="Times New Roman" w:cs="Times New Roman"/>
          <w:spacing w:val="-6"/>
        </w:rPr>
        <w:t>9.</w:t>
      </w:r>
      <w:r>
        <w:rPr>
          <w:rFonts w:ascii="Times New Roman" w:hAnsi="Times New Roman" w:eastAsia="Times New Roman" w:cs="Times New Roman"/>
          <w:spacing w:val="14"/>
        </w:rPr>
        <w:t xml:space="preserve">  </w:t>
      </w:r>
      <w:r>
        <w:rPr>
          <w:spacing w:val="-6"/>
        </w:rPr>
        <w:t>中国人赏花，从来不止于“看</w:t>
      </w:r>
      <w:r>
        <w:rPr>
          <w:spacing w:val="-77"/>
        </w:rPr>
        <w:t xml:space="preserve"> </w:t>
      </w:r>
      <w:r>
        <w:rPr>
          <w:spacing w:val="-6"/>
        </w:rPr>
        <w:t>”。花是载体，文是灵魂。《诗经》</w:t>
      </w:r>
      <w:r>
        <w:rPr>
          <w:spacing w:val="-7"/>
        </w:rPr>
        <w:t>里的“桃之夭夭，灼灼其华</w:t>
      </w:r>
      <w:r>
        <w:rPr>
          <w:spacing w:val="-77"/>
        </w:rPr>
        <w:t xml:space="preserve"> </w:t>
      </w:r>
      <w:r>
        <w:rPr>
          <w:spacing w:val="-7"/>
        </w:rPr>
        <w:t>”，《离骚》</w:t>
      </w:r>
      <w:r>
        <w:rPr>
          <w:spacing w:val="-4"/>
        </w:rPr>
        <w:t>里的“朝饮木兰之坠露兮</w:t>
      </w:r>
      <w:r>
        <w:rPr>
          <w:spacing w:val="-77"/>
        </w:rPr>
        <w:t xml:space="preserve"> </w:t>
      </w:r>
      <w:r>
        <w:rPr>
          <w:spacing w:val="-4"/>
        </w:rPr>
        <w:t>”，陶渊明写下的“采菊东篱下</w:t>
      </w:r>
      <w:r>
        <w:rPr>
          <w:spacing w:val="-77"/>
        </w:rPr>
        <w:t xml:space="preserve"> </w:t>
      </w:r>
      <w:r>
        <w:rPr>
          <w:spacing w:val="-4"/>
        </w:rPr>
        <w:t>”……古人以花寄寓理想的人格，表达自</w:t>
      </w:r>
      <w:r>
        <w:rPr>
          <w:spacing w:val="-5"/>
        </w:rPr>
        <w:t>己对生命</w:t>
      </w:r>
      <w:r>
        <w:rPr>
          <w:spacing w:val="-3"/>
        </w:rPr>
        <w:t>的哲思，赋予了花更多内涵。这表明 (</w:t>
      </w:r>
      <w:r>
        <w:rPr>
          <w:spacing w:val="25"/>
        </w:rPr>
        <w:t xml:space="preserve">   </w:t>
      </w:r>
      <w:r>
        <w:rPr>
          <w:spacing w:val="-3"/>
        </w:rPr>
        <w:t>)</w:t>
      </w:r>
    </w:p>
    <w:p w14:paraId="6821B9ED">
      <w:pPr>
        <w:pStyle w:val="2"/>
        <w:spacing w:before="219" w:line="217" w:lineRule="auto"/>
        <w:ind w:left="9"/>
      </w:pPr>
      <w:r>
        <w:rPr>
          <w:spacing w:val="-1"/>
        </w:rPr>
        <w:t>①花的意象之美源于赏花者的思维之花</w:t>
      </w:r>
    </w:p>
    <w:p w14:paraId="21D82963">
      <w:pPr>
        <w:pStyle w:val="2"/>
        <w:spacing w:before="221" w:line="217" w:lineRule="auto"/>
        <w:ind w:left="8"/>
      </w:pPr>
      <w:r>
        <w:rPr>
          <w:spacing w:val="-1"/>
        </w:rPr>
        <w:t>②赏花作为一种文化活动体现了文化的民族性</w:t>
      </w:r>
    </w:p>
    <w:p w14:paraId="3206F204">
      <w:pPr>
        <w:pStyle w:val="2"/>
        <w:spacing w:before="221" w:line="217" w:lineRule="auto"/>
        <w:ind w:left="8"/>
      </w:pPr>
      <w:r>
        <w:rPr>
          <w:spacing w:val="-4"/>
        </w:rPr>
        <w:t>③古人“</w:t>
      </w:r>
      <w:r>
        <w:rPr>
          <w:spacing w:val="-57"/>
        </w:rPr>
        <w:t xml:space="preserve"> </w:t>
      </w:r>
      <w:r>
        <w:rPr>
          <w:spacing w:val="-4"/>
        </w:rPr>
        <w:t>以花寄寓</w:t>
      </w:r>
      <w:r>
        <w:rPr>
          <w:spacing w:val="-77"/>
        </w:rPr>
        <w:t xml:space="preserve"> </w:t>
      </w:r>
      <w:r>
        <w:rPr>
          <w:spacing w:val="-4"/>
        </w:rPr>
        <w:t>”传达出人与自然的情感联结</w:t>
      </w:r>
    </w:p>
    <w:p w14:paraId="609AD2C3">
      <w:pPr>
        <w:pStyle w:val="2"/>
        <w:spacing w:before="222" w:line="217" w:lineRule="auto"/>
        <w:ind w:left="8"/>
      </w:pPr>
      <w:r>
        <w:rPr>
          <w:spacing w:val="-1"/>
        </w:rPr>
        <w:t>④花是文化载体，承载着地域文脉特征和人文精神</w:t>
      </w:r>
    </w:p>
    <w:p w14:paraId="16A6D1E6">
      <w:pPr>
        <w:pStyle w:val="2"/>
        <w:spacing w:before="221" w:line="411" w:lineRule="auto"/>
        <w:ind w:right="1928"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0FDB5160">
      <w:pPr>
        <w:pStyle w:val="2"/>
        <w:spacing w:before="1" w:line="220" w:lineRule="auto"/>
      </w:pPr>
      <w:r>
        <w:rPr>
          <w:color w:val="2E75B6"/>
        </w:rPr>
        <w:t>【解析】</w:t>
      </w:r>
    </w:p>
    <w:p w14:paraId="57F782F6">
      <w:pPr>
        <w:pStyle w:val="2"/>
        <w:spacing w:before="96" w:line="219" w:lineRule="auto"/>
        <w:ind w:left="1276"/>
      </w:pPr>
      <w:r>
        <w:rPr>
          <w:position w:val="12"/>
        </w:rPr>
        <w:drawing>
          <wp:inline distT="0" distB="0" distL="0" distR="0">
            <wp:extent cx="9525" cy="95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1"/>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17</w:t>
      </w:r>
      <w:r>
        <w:rPr>
          <w:spacing w:val="-6"/>
        </w:rPr>
        <w:t>页</w:t>
      </w:r>
    </w:p>
    <w:p w14:paraId="61AACFB6">
      <w:pPr>
        <w:spacing w:line="219" w:lineRule="auto"/>
        <w:sectPr>
          <w:pgSz w:w="11900" w:h="16839"/>
          <w:pgMar w:top="400" w:right="904" w:bottom="0" w:left="1078" w:header="0" w:footer="0" w:gutter="0"/>
          <w:cols w:space="720" w:num="1"/>
        </w:sectPr>
      </w:pPr>
    </w:p>
    <w:p w14:paraId="2AC45182">
      <w:pPr>
        <w:spacing w:line="244" w:lineRule="auto"/>
        <w:rPr>
          <w:rFonts w:ascii="Arial"/>
          <w:sz w:val="21"/>
        </w:rPr>
      </w:pPr>
    </w:p>
    <w:p w14:paraId="4245A25B">
      <w:pPr>
        <w:spacing w:line="245" w:lineRule="auto"/>
        <w:rPr>
          <w:rFonts w:ascii="Arial"/>
          <w:sz w:val="21"/>
        </w:rPr>
      </w:pPr>
    </w:p>
    <w:p w14:paraId="138A05BC">
      <w:pPr>
        <w:spacing w:line="375" w:lineRule="exact"/>
        <w:ind w:firstLine="1321"/>
      </w:pPr>
    </w:p>
    <w:p w14:paraId="20F3C125">
      <w:pPr>
        <w:pStyle w:val="2"/>
        <w:spacing w:before="182" w:line="219" w:lineRule="auto"/>
        <w:jc w:val="right"/>
      </w:pPr>
      <w:r>
        <w:rPr>
          <w:spacing w:val="-3"/>
        </w:rPr>
        <w:t>【详解】：花的意象之美属于意识范畴，意识根源于客观存在和社会实践，并非源于人的主观思维，错误。</w:t>
      </w:r>
    </w:p>
    <w:p w14:paraId="0B9D3A02">
      <w:pPr>
        <w:pStyle w:val="2"/>
        <w:spacing w:before="214" w:line="217" w:lineRule="auto"/>
        <w:ind w:left="8"/>
      </w:pPr>
      <w:r>
        <w:rPr>
          <w:spacing w:val="-1"/>
        </w:rPr>
        <w:t>②</w:t>
      </w:r>
      <w:r>
        <w:rPr>
          <w:spacing w:val="-67"/>
        </w:rPr>
        <w:t xml:space="preserve"> </w:t>
      </w:r>
      <w:r>
        <w:rPr>
          <w:spacing w:val="-1"/>
        </w:rPr>
        <w:t>：中国人独有的以花寄情的赏花文化活动，是中华民族特有的文化表达，体现了文化的民族性，正确。</w:t>
      </w:r>
    </w:p>
    <w:p w14:paraId="74E7C734">
      <w:pPr>
        <w:pStyle w:val="2"/>
        <w:spacing w:before="220" w:line="318" w:lineRule="auto"/>
        <w:ind w:left="13" w:right="85" w:hanging="5"/>
      </w:pPr>
      <w:r>
        <w:rPr>
          <w:spacing w:val="-1"/>
        </w:rPr>
        <w:t>③</w:t>
      </w:r>
      <w:r>
        <w:rPr>
          <w:spacing w:val="-67"/>
        </w:rPr>
        <w:t xml:space="preserve"> </w:t>
      </w:r>
      <w:r>
        <w:rPr>
          <w:spacing w:val="-1"/>
        </w:rPr>
        <w:t>：古人将自身的理想人格、生命哲思寄托于自然中的花，实现了人的精神与自然事物的联结，传达出人</w:t>
      </w:r>
      <w:r>
        <w:rPr>
          <w:spacing w:val="-2"/>
        </w:rPr>
        <w:t>与自然的情感联结，正确。</w:t>
      </w:r>
    </w:p>
    <w:p w14:paraId="250DB200">
      <w:pPr>
        <w:pStyle w:val="2"/>
        <w:spacing w:before="213" w:line="217" w:lineRule="auto"/>
        <w:ind w:left="8"/>
      </w:pPr>
      <w:r>
        <w:rPr>
          <w:spacing w:val="-1"/>
        </w:rPr>
        <w:t>④</w:t>
      </w:r>
      <w:r>
        <w:rPr>
          <w:spacing w:val="-72"/>
        </w:rPr>
        <w:t xml:space="preserve"> </w:t>
      </w:r>
      <w:r>
        <w:rPr>
          <w:spacing w:val="-1"/>
        </w:rPr>
        <w:t>：材料仅体现中国古人赋予花人文精神内涵，未涉及不同地域的文脉特征相关内容，错误。</w:t>
      </w:r>
    </w:p>
    <w:p w14:paraId="71D37F0B">
      <w:pPr>
        <w:pStyle w:val="2"/>
        <w:spacing w:before="227" w:line="347" w:lineRule="auto"/>
        <w:ind w:left="9" w:firstLine="17"/>
      </w:pPr>
      <w:r>
        <w:rPr>
          <w:rFonts w:ascii="Times New Roman" w:hAnsi="Times New Roman" w:eastAsia="Times New Roman" w:cs="Times New Roman"/>
          <w:spacing w:val="-4"/>
        </w:rPr>
        <w:t xml:space="preserve">10.  </w:t>
      </w:r>
      <w:r>
        <w:rPr>
          <w:spacing w:val="-4"/>
        </w:rPr>
        <w:t>从桃符对联到电子烟花，春节古老的习俗并非一成不变。“人机共舞</w:t>
      </w:r>
      <w:r>
        <w:rPr>
          <w:spacing w:val="-59"/>
        </w:rPr>
        <w:t xml:space="preserve"> </w:t>
      </w:r>
      <w:r>
        <w:rPr>
          <w:spacing w:val="-4"/>
        </w:rPr>
        <w:t>”的科技美学，</w:t>
      </w:r>
      <w:r>
        <w:rPr>
          <w:rFonts w:ascii="Times New Roman" w:hAnsi="Times New Roman" w:eastAsia="Times New Roman" w:cs="Times New Roman"/>
          <w:spacing w:val="-4"/>
        </w:rPr>
        <w:t xml:space="preserve">AI </w:t>
      </w:r>
      <w:r>
        <w:rPr>
          <w:spacing w:val="-4"/>
        </w:rPr>
        <w:t>绘制糖人的“赛</w:t>
      </w:r>
      <w:r>
        <w:rPr>
          <w:spacing w:val="-2"/>
        </w:rPr>
        <w:t>博庙会</w:t>
      </w:r>
      <w:r>
        <w:rPr>
          <w:spacing w:val="-77"/>
        </w:rPr>
        <w:t xml:space="preserve"> </w:t>
      </w:r>
      <w:r>
        <w:rPr>
          <w:spacing w:val="-2"/>
        </w:rPr>
        <w:t>”，</w:t>
      </w:r>
      <w:r>
        <w:rPr>
          <w:rFonts w:ascii="Times New Roman" w:hAnsi="Times New Roman" w:eastAsia="Times New Roman" w:cs="Times New Roman"/>
          <w:spacing w:val="-2"/>
        </w:rPr>
        <w:t xml:space="preserve">3D </w:t>
      </w:r>
      <w:r>
        <w:rPr>
          <w:spacing w:val="-2"/>
        </w:rPr>
        <w:t>打印的定制化春节礼品</w:t>
      </w:r>
      <w:r>
        <w:rPr>
          <w:rFonts w:ascii="Cambria Math" w:hAnsi="Cambria Math" w:eastAsia="Cambria Math" w:cs="Cambria Math"/>
          <w:spacing w:val="-2"/>
        </w:rPr>
        <w:t>⋯⋯</w:t>
      </w:r>
      <w:r>
        <w:rPr>
          <w:spacing w:val="-2"/>
        </w:rPr>
        <w:t>科技赋能让</w:t>
      </w:r>
      <w:r>
        <w:rPr>
          <w:spacing w:val="-3"/>
        </w:rPr>
        <w:t>“</w:t>
      </w:r>
      <w:r>
        <w:rPr>
          <w:spacing w:val="-77"/>
        </w:rPr>
        <w:t xml:space="preserve"> </w:t>
      </w:r>
      <w:r>
        <w:rPr>
          <w:spacing w:val="-3"/>
        </w:rPr>
        <w:t>中国年</w:t>
      </w:r>
      <w:r>
        <w:rPr>
          <w:spacing w:val="-77"/>
        </w:rPr>
        <w:t xml:space="preserve"> </w:t>
      </w:r>
      <w:r>
        <w:rPr>
          <w:spacing w:val="-3"/>
        </w:rPr>
        <w:t>”成为不同文化语境下可理解、可参与、可</w:t>
      </w:r>
      <w:r>
        <w:rPr>
          <w:spacing w:val="-5"/>
        </w:rPr>
        <w:t>共创的“世界年</w:t>
      </w:r>
      <w:r>
        <w:rPr>
          <w:spacing w:val="-64"/>
        </w:rPr>
        <w:t xml:space="preserve"> </w:t>
      </w:r>
      <w:r>
        <w:rPr>
          <w:spacing w:val="-5"/>
        </w:rPr>
        <w:t>”。由此可见 (</w:t>
      </w:r>
      <w:r>
        <w:rPr>
          <w:spacing w:val="20"/>
        </w:rPr>
        <w:t xml:space="preserve">   </w:t>
      </w:r>
      <w:r>
        <w:rPr>
          <w:spacing w:val="-5"/>
        </w:rPr>
        <w:t>)</w:t>
      </w:r>
    </w:p>
    <w:p w14:paraId="10323FD2">
      <w:pPr>
        <w:pStyle w:val="2"/>
        <w:spacing w:before="219" w:line="217" w:lineRule="auto"/>
        <w:ind w:left="9"/>
      </w:pPr>
      <w:r>
        <w:rPr>
          <w:spacing w:val="-1"/>
        </w:rPr>
        <w:t>①科技的进步为文化繁荣发展创造了条件</w:t>
      </w:r>
    </w:p>
    <w:p w14:paraId="77BF6E72">
      <w:pPr>
        <w:pStyle w:val="2"/>
        <w:spacing w:before="221" w:line="217" w:lineRule="auto"/>
        <w:ind w:left="8"/>
      </w:pPr>
      <w:r>
        <w:rPr>
          <w:spacing w:val="-1"/>
        </w:rPr>
        <w:t>②古老习俗在科技革命浪潮中逐渐淡出舞台</w:t>
      </w:r>
    </w:p>
    <w:p w14:paraId="3625865B">
      <w:pPr>
        <w:pStyle w:val="2"/>
        <w:spacing w:before="221" w:line="217" w:lineRule="auto"/>
        <w:ind w:left="8"/>
      </w:pPr>
      <w:r>
        <w:rPr>
          <w:spacing w:val="-1"/>
        </w:rPr>
        <w:t>③各国热闹的新春习俗展现了世界文化多样性</w:t>
      </w:r>
    </w:p>
    <w:p w14:paraId="68961715">
      <w:pPr>
        <w:pStyle w:val="2"/>
        <w:spacing w:before="221" w:line="217" w:lineRule="auto"/>
        <w:ind w:left="8"/>
      </w:pPr>
      <w:r>
        <w:rPr>
          <w:spacing w:val="-3"/>
        </w:rPr>
        <w:t>④“</w:t>
      </w:r>
      <w:r>
        <w:rPr>
          <w:spacing w:val="-75"/>
        </w:rPr>
        <w:t xml:space="preserve"> </w:t>
      </w:r>
      <w:r>
        <w:rPr>
          <w:spacing w:val="-3"/>
        </w:rPr>
        <w:t>中国年</w:t>
      </w:r>
      <w:r>
        <w:rPr>
          <w:spacing w:val="-77"/>
        </w:rPr>
        <w:t xml:space="preserve"> </w:t>
      </w:r>
      <w:r>
        <w:rPr>
          <w:spacing w:val="-3"/>
        </w:rPr>
        <w:t>”具有开放包容、创新活跃的文化特性</w:t>
      </w:r>
    </w:p>
    <w:p w14:paraId="5A71E1B2">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3FC6E1AD">
      <w:pPr>
        <w:pStyle w:val="2"/>
        <w:spacing w:line="220" w:lineRule="auto"/>
      </w:pPr>
      <w:r>
        <w:rPr>
          <w:color w:val="2E75B6"/>
        </w:rPr>
        <w:t>【解析】</w:t>
      </w:r>
    </w:p>
    <w:p w14:paraId="43685284">
      <w:pPr>
        <w:pStyle w:val="2"/>
        <w:spacing w:before="219" w:line="411" w:lineRule="auto"/>
        <w:ind w:left="10" w:right="33" w:hanging="10"/>
      </w:pPr>
      <w:r>
        <w:rPr>
          <w:spacing w:val="-2"/>
        </w:rPr>
        <w:t>【详解】①</w:t>
      </w:r>
      <w:r>
        <w:rPr>
          <w:spacing w:val="-78"/>
        </w:rPr>
        <w:t xml:space="preserve"> </w:t>
      </w:r>
      <w:r>
        <w:rPr>
          <w:spacing w:val="-2"/>
        </w:rPr>
        <w:t>：材料中“人机共舞</w:t>
      </w:r>
      <w:r>
        <w:rPr>
          <w:spacing w:val="-77"/>
        </w:rPr>
        <w:t xml:space="preserve"> </w:t>
      </w:r>
      <w:r>
        <w:rPr>
          <w:spacing w:val="-2"/>
        </w:rPr>
        <w:t>”、AI</w:t>
      </w:r>
      <w:r>
        <w:rPr>
          <w:spacing w:val="-42"/>
        </w:rPr>
        <w:t xml:space="preserve"> </w:t>
      </w:r>
      <w:r>
        <w:rPr>
          <w:spacing w:val="-2"/>
        </w:rPr>
        <w:t>绘制</w:t>
      </w:r>
      <w:r>
        <w:rPr>
          <w:spacing w:val="-3"/>
        </w:rPr>
        <w:t>糖人等科技赋能让“</w:t>
      </w:r>
      <w:r>
        <w:rPr>
          <w:spacing w:val="-77"/>
        </w:rPr>
        <w:t xml:space="preserve"> </w:t>
      </w:r>
      <w:r>
        <w:rPr>
          <w:spacing w:val="-3"/>
        </w:rPr>
        <w:t>中国年</w:t>
      </w:r>
      <w:r>
        <w:rPr>
          <w:spacing w:val="-77"/>
        </w:rPr>
        <w:t xml:space="preserve"> </w:t>
      </w:r>
      <w:r>
        <w:rPr>
          <w:spacing w:val="-3"/>
        </w:rPr>
        <w:t>”焕发新生，说明科技的进步为文</w:t>
      </w:r>
      <w:r>
        <w:rPr>
          <w:spacing w:val="-1"/>
        </w:rPr>
        <w:t>化繁荣发展创造了条件，正确。</w:t>
      </w:r>
    </w:p>
    <w:p w14:paraId="29BBD150">
      <w:pPr>
        <w:pStyle w:val="2"/>
        <w:spacing w:line="217" w:lineRule="auto"/>
        <w:ind w:left="8"/>
      </w:pPr>
      <w:r>
        <w:rPr>
          <w:spacing w:val="-1"/>
        </w:rPr>
        <w:t>②</w:t>
      </w:r>
      <w:r>
        <w:rPr>
          <w:spacing w:val="-79"/>
        </w:rPr>
        <w:t xml:space="preserve"> </w:t>
      </w:r>
      <w:r>
        <w:rPr>
          <w:spacing w:val="-1"/>
        </w:rPr>
        <w:t>：材料强调的是春节习俗在科技的赋能下实现了</w:t>
      </w:r>
      <w:r>
        <w:rPr>
          <w:spacing w:val="-2"/>
        </w:rPr>
        <w:t>创新与传承，而非“逐渐淡出舞台</w:t>
      </w:r>
      <w:r>
        <w:rPr>
          <w:spacing w:val="-77"/>
        </w:rPr>
        <w:t xml:space="preserve"> </w:t>
      </w:r>
      <w:r>
        <w:rPr>
          <w:spacing w:val="-2"/>
        </w:rPr>
        <w:t>”，排除。</w:t>
      </w:r>
    </w:p>
    <w:p w14:paraId="61348864">
      <w:pPr>
        <w:pStyle w:val="2"/>
        <w:spacing w:before="221" w:line="217" w:lineRule="auto"/>
        <w:ind w:left="8"/>
      </w:pPr>
      <w:r>
        <w:rPr>
          <w:spacing w:val="-2"/>
        </w:rPr>
        <w:t>③</w:t>
      </w:r>
      <w:r>
        <w:rPr>
          <w:spacing w:val="-79"/>
        </w:rPr>
        <w:t xml:space="preserve"> </w:t>
      </w:r>
      <w:r>
        <w:rPr>
          <w:spacing w:val="-2"/>
        </w:rPr>
        <w:t>：材料强调“</w:t>
      </w:r>
      <w:r>
        <w:rPr>
          <w:spacing w:val="-77"/>
        </w:rPr>
        <w:t xml:space="preserve"> </w:t>
      </w:r>
      <w:r>
        <w:rPr>
          <w:spacing w:val="-2"/>
        </w:rPr>
        <w:t>中国年</w:t>
      </w:r>
      <w:r>
        <w:rPr>
          <w:spacing w:val="-77"/>
        </w:rPr>
        <w:t xml:space="preserve"> </w:t>
      </w:r>
      <w:r>
        <w:rPr>
          <w:spacing w:val="-2"/>
        </w:rPr>
        <w:t>”借助科技走向世界，而非展现各国新春习俗，未涉及世界文化多样性，排除。</w:t>
      </w:r>
    </w:p>
    <w:p w14:paraId="0B4EA6F4">
      <w:pPr>
        <w:pStyle w:val="2"/>
        <w:spacing w:before="222" w:line="315" w:lineRule="auto"/>
        <w:ind w:left="26" w:hanging="18"/>
      </w:pPr>
      <w:r>
        <w:rPr>
          <w:spacing w:val="-4"/>
        </w:rPr>
        <w:t>④：“中国年</w:t>
      </w:r>
      <w:r>
        <w:rPr>
          <w:spacing w:val="-77"/>
        </w:rPr>
        <w:t xml:space="preserve"> </w:t>
      </w:r>
      <w:r>
        <w:rPr>
          <w:spacing w:val="-4"/>
        </w:rPr>
        <w:t>”借助现代科技成为可参与、可共创的“世界年</w:t>
      </w:r>
      <w:r>
        <w:rPr>
          <w:spacing w:val="-77"/>
        </w:rPr>
        <w:t xml:space="preserve"> </w:t>
      </w:r>
      <w:r>
        <w:rPr>
          <w:spacing w:val="-4"/>
        </w:rPr>
        <w:t>”，体现了中华文化具有开放包容、创新活跃</w:t>
      </w:r>
      <w:r>
        <w:rPr>
          <w:spacing w:val="-3"/>
        </w:rPr>
        <w:t>的文化特性，正确。</w:t>
      </w:r>
    </w:p>
    <w:p w14:paraId="4310E35D">
      <w:pPr>
        <w:pStyle w:val="2"/>
        <w:spacing w:before="219" w:line="347" w:lineRule="auto"/>
        <w:ind w:left="9" w:firstLine="17"/>
      </w:pPr>
      <w:r>
        <w:rPr>
          <w:rFonts w:ascii="Times New Roman" w:hAnsi="Times New Roman" w:eastAsia="Times New Roman" w:cs="Times New Roman"/>
          <w:spacing w:val="-2"/>
        </w:rPr>
        <w:t xml:space="preserve">11. 2025 </w:t>
      </w:r>
      <w:r>
        <w:rPr>
          <w:spacing w:val="-2"/>
        </w:rPr>
        <w:t>年</w:t>
      </w:r>
      <w:r>
        <w:rPr>
          <w:spacing w:val="-44"/>
        </w:rPr>
        <w:t xml:space="preserve"> </w:t>
      </w:r>
      <w:r>
        <w:rPr>
          <w:rFonts w:ascii="Times New Roman" w:hAnsi="Times New Roman" w:eastAsia="Times New Roman" w:cs="Times New Roman"/>
          <w:spacing w:val="-2"/>
        </w:rPr>
        <w:t xml:space="preserve">5 </w:t>
      </w:r>
      <w:r>
        <w:rPr>
          <w:spacing w:val="-2"/>
        </w:rPr>
        <w:t>月，中国与志同道合的国家共同发起成立国际调解院。作为全球首个专门以调解方式解决国际</w:t>
      </w:r>
      <w:r>
        <w:t>争端的政府间法律组织，该机构填补了国际调解领域的机制空白，为和平解决国际争</w:t>
      </w:r>
      <w:r>
        <w:rPr>
          <w:spacing w:val="-1"/>
        </w:rPr>
        <w:t>端提供了重要法治公共产品，彰显了中国对《联合国宪章》宗旨和原则的创新实践。这</w:t>
      </w:r>
      <w:r>
        <w:rPr>
          <w:spacing w:val="-2"/>
        </w:rPr>
        <w:t>说明 (</w:t>
      </w:r>
      <w:r>
        <w:rPr>
          <w:spacing w:val="20"/>
        </w:rPr>
        <w:t xml:space="preserve">   </w:t>
      </w:r>
      <w:r>
        <w:rPr>
          <w:spacing w:val="-2"/>
        </w:rPr>
        <w:t>)</w:t>
      </w:r>
    </w:p>
    <w:p w14:paraId="6F1FB539">
      <w:pPr>
        <w:pStyle w:val="2"/>
        <w:spacing w:before="220" w:line="217" w:lineRule="auto"/>
        <w:ind w:left="9"/>
      </w:pPr>
      <w:r>
        <w:rPr>
          <w:spacing w:val="-1"/>
        </w:rPr>
        <w:t>①国际调解院是加强国际合作的重要区域性组织</w:t>
      </w:r>
    </w:p>
    <w:p w14:paraId="3863F572">
      <w:pPr>
        <w:pStyle w:val="2"/>
        <w:spacing w:before="221" w:line="217" w:lineRule="auto"/>
        <w:ind w:left="8"/>
      </w:pPr>
      <w:r>
        <w:rPr>
          <w:spacing w:val="-1"/>
        </w:rPr>
        <w:t>②中国不断落实全球安全倡议，完善全球治理体系</w:t>
      </w:r>
    </w:p>
    <w:p w14:paraId="58F70FE3">
      <w:pPr>
        <w:pStyle w:val="2"/>
        <w:spacing w:before="221" w:line="217" w:lineRule="auto"/>
        <w:ind w:left="8"/>
      </w:pPr>
      <w:r>
        <w:rPr>
          <w:spacing w:val="-1"/>
        </w:rPr>
        <w:t>③中国始终是多边主义的坚定捍卫者与积极践行者</w:t>
      </w:r>
    </w:p>
    <w:p w14:paraId="1CD8DBCB">
      <w:pPr>
        <w:pStyle w:val="2"/>
        <w:spacing w:before="221" w:line="217" w:lineRule="auto"/>
        <w:ind w:left="8"/>
      </w:pPr>
      <w:r>
        <w:rPr>
          <w:spacing w:val="-1"/>
        </w:rPr>
        <w:t>④联合国机构改革不断推进，有力维护战后国际秩序</w:t>
      </w:r>
    </w:p>
    <w:p w14:paraId="3896E9FE">
      <w:pPr>
        <w:pStyle w:val="2"/>
        <w:spacing w:before="221" w:line="358"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6AF0BF90">
      <w:pPr>
        <w:pStyle w:val="2"/>
        <w:spacing w:line="219" w:lineRule="auto"/>
        <w:ind w:left="1276"/>
      </w:pPr>
      <w:r>
        <w:rPr>
          <w:position w:val="12"/>
        </w:rPr>
        <w:drawing>
          <wp:inline distT="0" distB="0" distL="0" distR="0">
            <wp:extent cx="9525" cy="95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0"/>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17</w:t>
      </w:r>
      <w:r>
        <w:rPr>
          <w:spacing w:val="-6"/>
        </w:rPr>
        <w:t>页</w:t>
      </w:r>
    </w:p>
    <w:p w14:paraId="685AA9CB">
      <w:pPr>
        <w:spacing w:line="219" w:lineRule="auto"/>
        <w:sectPr>
          <w:pgSz w:w="11900" w:h="16839"/>
          <w:pgMar w:top="400" w:right="1073" w:bottom="0" w:left="1078" w:header="0" w:footer="0" w:gutter="0"/>
          <w:cols w:space="720" w:num="1"/>
        </w:sectPr>
      </w:pPr>
    </w:p>
    <w:p w14:paraId="055BE0C6">
      <w:pPr>
        <w:spacing w:line="244" w:lineRule="auto"/>
        <w:rPr>
          <w:rFonts w:ascii="Arial"/>
          <w:sz w:val="21"/>
        </w:rPr>
      </w:pPr>
    </w:p>
    <w:p w14:paraId="5540D957">
      <w:pPr>
        <w:spacing w:line="245" w:lineRule="auto"/>
        <w:rPr>
          <w:rFonts w:ascii="Arial"/>
          <w:sz w:val="21"/>
        </w:rPr>
      </w:pPr>
    </w:p>
    <w:p w14:paraId="22E5E263">
      <w:pPr>
        <w:spacing w:line="375" w:lineRule="exact"/>
        <w:ind w:firstLine="1321"/>
      </w:pPr>
    </w:p>
    <w:p w14:paraId="471973F2">
      <w:pPr>
        <w:pStyle w:val="2"/>
        <w:spacing w:before="183" w:line="220" w:lineRule="auto"/>
      </w:pPr>
      <w:r>
        <w:rPr>
          <w:color w:val="2E75B6"/>
        </w:rPr>
        <w:t>【解析】</w:t>
      </w:r>
      <w:r>
        <w:rPr>
          <w:color w:val="2E75B6"/>
          <w:spacing w:val="2"/>
        </w:rPr>
        <w:t xml:space="preserve">                               </w:t>
      </w:r>
      <w:r>
        <w:rPr>
          <w:color w:val="2E75B6"/>
          <w:spacing w:val="1"/>
        </w:rPr>
        <w:t xml:space="preserve">                           </w:t>
      </w:r>
      <w:r>
        <w:rPr>
          <w:position w:val="14"/>
        </w:rPr>
        <w:drawing>
          <wp:inline distT="0" distB="0" distL="0" distR="0">
            <wp:extent cx="9525" cy="95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0"/>
                    <a:stretch>
                      <a:fillRect/>
                    </a:stretch>
                  </pic:blipFill>
                  <pic:spPr>
                    <a:xfrm>
                      <a:off x="0" y="0"/>
                      <a:ext cx="9525" cy="9525"/>
                    </a:xfrm>
                    <a:prstGeom prst="rect">
                      <a:avLst/>
                    </a:prstGeom>
                  </pic:spPr>
                </pic:pic>
              </a:graphicData>
            </a:graphic>
          </wp:inline>
        </w:drawing>
      </w:r>
    </w:p>
    <w:p w14:paraId="7A998A63">
      <w:pPr>
        <w:pStyle w:val="2"/>
        <w:spacing w:before="217" w:line="217" w:lineRule="auto"/>
      </w:pPr>
      <w:r>
        <w:t>【详解】①</w:t>
      </w:r>
      <w:r>
        <w:rPr>
          <w:spacing w:val="-79"/>
        </w:rPr>
        <w:t xml:space="preserve"> </w:t>
      </w:r>
      <w:r>
        <w:t>：国际调解院面向全球各国，属</w:t>
      </w:r>
      <w:r>
        <w:rPr>
          <w:spacing w:val="-1"/>
        </w:rPr>
        <w:t>于全球性政府间组织，并非区域性组织，表述错误，排除。</w:t>
      </w:r>
    </w:p>
    <w:p w14:paraId="7608C026">
      <w:pPr>
        <w:pStyle w:val="2"/>
        <w:spacing w:before="220" w:line="316" w:lineRule="auto"/>
        <w:ind w:left="13" w:right="85" w:hanging="5"/>
      </w:pPr>
      <w:r>
        <w:rPr>
          <w:spacing w:val="-1"/>
        </w:rPr>
        <w:t>②</w:t>
      </w:r>
      <w:r>
        <w:rPr>
          <w:spacing w:val="-67"/>
        </w:rPr>
        <w:t xml:space="preserve"> </w:t>
      </w:r>
      <w:r>
        <w:rPr>
          <w:spacing w:val="-1"/>
        </w:rPr>
        <w:t>：国际调解院以和平调解化解国际争端，践行全球安全倡议，弥补全球治理机制短板，完善全球治理体</w:t>
      </w:r>
      <w:r>
        <w:rPr>
          <w:spacing w:val="-3"/>
        </w:rPr>
        <w:t>系，正确。</w:t>
      </w:r>
    </w:p>
    <w:p w14:paraId="23A58417">
      <w:pPr>
        <w:pStyle w:val="2"/>
        <w:spacing w:before="217" w:line="316" w:lineRule="auto"/>
        <w:ind w:left="13" w:right="132" w:hanging="5"/>
      </w:pPr>
      <w:r>
        <w:rPr>
          <w:spacing w:val="-2"/>
        </w:rPr>
        <w:t>③</w:t>
      </w:r>
      <w:r>
        <w:rPr>
          <w:spacing w:val="-68"/>
        </w:rPr>
        <w:t xml:space="preserve"> </w:t>
      </w:r>
      <w:r>
        <w:rPr>
          <w:spacing w:val="-2"/>
        </w:rPr>
        <w:t>：中国联合多国共建国际调解机构，通过多边渠道和平处理国际矛盾，体现坚定践行、捍卫多边主义，</w:t>
      </w:r>
      <w:r>
        <w:rPr>
          <w:spacing w:val="-5"/>
        </w:rPr>
        <w:t>正确。</w:t>
      </w:r>
    </w:p>
    <w:p w14:paraId="7EDBBA07">
      <w:pPr>
        <w:pStyle w:val="2"/>
        <w:spacing w:before="217" w:line="217" w:lineRule="auto"/>
        <w:ind w:left="8"/>
      </w:pPr>
      <w:r>
        <w:rPr>
          <w:spacing w:val="-1"/>
        </w:rPr>
        <w:t>④</w:t>
      </w:r>
      <w:r>
        <w:rPr>
          <w:spacing w:val="-71"/>
        </w:rPr>
        <w:t xml:space="preserve"> </w:t>
      </w:r>
      <w:r>
        <w:rPr>
          <w:spacing w:val="-1"/>
        </w:rPr>
        <w:t>：国际调解院是全新独立国际组织，不属于联合国下辖机构，未体现联合国机构改革，排除。</w:t>
      </w:r>
    </w:p>
    <w:p w14:paraId="5A05A88F">
      <w:pPr>
        <w:pStyle w:val="2"/>
        <w:spacing w:before="221" w:line="316" w:lineRule="auto"/>
        <w:ind w:left="30" w:hanging="4"/>
      </w:pPr>
      <w:r>
        <w:rPr>
          <w:rFonts w:ascii="Times New Roman" w:hAnsi="Times New Roman" w:eastAsia="Times New Roman" w:cs="Times New Roman"/>
          <w:spacing w:val="-2"/>
        </w:rPr>
        <w:t xml:space="preserve">12.  </w:t>
      </w:r>
      <w:r>
        <w:rPr>
          <w:spacing w:val="-2"/>
        </w:rPr>
        <w:t>一国出口额在全球贸易中的比重是衡量该国出口竞争力的关键指标。近年来，我国这一指标变化情况如</w:t>
      </w:r>
      <w:r>
        <w:rPr>
          <w:spacing w:val="-8"/>
        </w:rPr>
        <w:t>图所示。</w:t>
      </w:r>
    </w:p>
    <w:p w14:paraId="13FB7848">
      <w:pPr>
        <w:spacing w:before="120" w:line="3060" w:lineRule="exact"/>
        <w:ind w:firstLine="1"/>
      </w:pPr>
      <w:r>
        <w:rPr>
          <w:position w:val="-61"/>
        </w:rPr>
        <w:drawing>
          <wp:inline distT="0" distB="0" distL="0" distR="0">
            <wp:extent cx="3228975" cy="19431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
                    <a:stretch>
                      <a:fillRect/>
                    </a:stretch>
                  </pic:blipFill>
                  <pic:spPr>
                    <a:xfrm>
                      <a:off x="0" y="0"/>
                      <a:ext cx="3228975" cy="1943100"/>
                    </a:xfrm>
                    <a:prstGeom prst="rect">
                      <a:avLst/>
                    </a:prstGeom>
                  </pic:spPr>
                </pic:pic>
              </a:graphicData>
            </a:graphic>
          </wp:inline>
        </w:drawing>
      </w:r>
    </w:p>
    <w:p w14:paraId="341B8F2D">
      <w:pPr>
        <w:pStyle w:val="2"/>
        <w:spacing w:before="157" w:line="219" w:lineRule="auto"/>
        <w:ind w:left="35"/>
      </w:pPr>
      <w:r>
        <w:rPr>
          <w:spacing w:val="-9"/>
        </w:rPr>
        <w:t>由材料可以推断</w:t>
      </w:r>
      <w:r>
        <w:rPr>
          <w:spacing w:val="15"/>
        </w:rPr>
        <w:t xml:space="preserve"> </w:t>
      </w:r>
      <w:r>
        <w:rPr>
          <w:spacing w:val="-9"/>
        </w:rPr>
        <w:t>(</w:t>
      </w:r>
      <w:r>
        <w:rPr>
          <w:spacing w:val="20"/>
        </w:rPr>
        <w:t xml:space="preserve">   </w:t>
      </w:r>
      <w:r>
        <w:rPr>
          <w:spacing w:val="-9"/>
        </w:rPr>
        <w:t>)</w:t>
      </w:r>
    </w:p>
    <w:p w14:paraId="6941CA33">
      <w:pPr>
        <w:pStyle w:val="2"/>
        <w:spacing w:before="220" w:line="217" w:lineRule="auto"/>
        <w:ind w:left="9"/>
      </w:pPr>
      <w:r>
        <w:rPr>
          <w:spacing w:val="-1"/>
        </w:rPr>
        <w:t>①我国出口额呈加速上升趋势</w:t>
      </w:r>
    </w:p>
    <w:p w14:paraId="21678EA1">
      <w:pPr>
        <w:pStyle w:val="2"/>
        <w:spacing w:before="221" w:line="217" w:lineRule="auto"/>
        <w:ind w:left="8"/>
      </w:pPr>
      <w:r>
        <w:rPr>
          <w:spacing w:val="-1"/>
        </w:rPr>
        <w:t>②我国出口贸易具有较强韧性</w:t>
      </w:r>
    </w:p>
    <w:p w14:paraId="1151CE75">
      <w:pPr>
        <w:pStyle w:val="2"/>
        <w:spacing w:before="221" w:line="217" w:lineRule="auto"/>
        <w:ind w:left="8"/>
      </w:pPr>
      <w:r>
        <w:rPr>
          <w:spacing w:val="-1"/>
        </w:rPr>
        <w:t>③关税战能激励中国出口贸易</w:t>
      </w:r>
    </w:p>
    <w:p w14:paraId="6C2F0F2C">
      <w:pPr>
        <w:pStyle w:val="2"/>
        <w:spacing w:before="221" w:line="217" w:lineRule="auto"/>
        <w:ind w:left="8"/>
      </w:pPr>
      <w:r>
        <w:rPr>
          <w:spacing w:val="-1"/>
        </w:rPr>
        <w:t>④经济全球化的趋势不可逆转</w:t>
      </w:r>
    </w:p>
    <w:p w14:paraId="1BAC65E4">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327C0E93">
      <w:pPr>
        <w:pStyle w:val="2"/>
        <w:spacing w:line="220" w:lineRule="auto"/>
      </w:pPr>
      <w:r>
        <w:rPr>
          <w:color w:val="2E75B6"/>
        </w:rPr>
        <w:t>【解析】</w:t>
      </w:r>
    </w:p>
    <w:p w14:paraId="2A53D2D3">
      <w:pPr>
        <w:pStyle w:val="2"/>
        <w:spacing w:before="219" w:line="411" w:lineRule="auto"/>
        <w:ind w:left="13" w:right="85" w:hanging="14"/>
      </w:pPr>
      <w:r>
        <w:rPr>
          <w:spacing w:val="-2"/>
        </w:rPr>
        <w:t>【详解】①</w:t>
      </w:r>
      <w:r>
        <w:rPr>
          <w:spacing w:val="-79"/>
        </w:rPr>
        <w:t xml:space="preserve"> </w:t>
      </w:r>
      <w:r>
        <w:rPr>
          <w:spacing w:val="-2"/>
        </w:rPr>
        <w:t>：中国出口占全球份额总体上升，但“份额</w:t>
      </w:r>
      <w:r>
        <w:rPr>
          <w:spacing w:val="-77"/>
        </w:rPr>
        <w:t xml:space="preserve"> </w:t>
      </w:r>
      <w:r>
        <w:rPr>
          <w:spacing w:val="-2"/>
        </w:rPr>
        <w:t>”上升不等于</w:t>
      </w:r>
      <w:r>
        <w:rPr>
          <w:spacing w:val="-3"/>
        </w:rPr>
        <w:t>“</w:t>
      </w:r>
      <w:r>
        <w:rPr>
          <w:spacing w:val="-79"/>
        </w:rPr>
        <w:t xml:space="preserve"> </w:t>
      </w:r>
      <w:r>
        <w:rPr>
          <w:spacing w:val="-3"/>
        </w:rPr>
        <w:t>出口额</w:t>
      </w:r>
      <w:r>
        <w:rPr>
          <w:spacing w:val="-77"/>
        </w:rPr>
        <w:t xml:space="preserve"> </w:t>
      </w:r>
      <w:r>
        <w:rPr>
          <w:spacing w:val="-3"/>
        </w:rPr>
        <w:t>”必然加速上升，出口额还</w:t>
      </w:r>
      <w:r>
        <w:rPr>
          <w:spacing w:val="-1"/>
        </w:rPr>
        <w:t>受全球贸易总量变化影响，且材料未显示增速变化，排除。</w:t>
      </w:r>
    </w:p>
    <w:p w14:paraId="749FBA35">
      <w:pPr>
        <w:pStyle w:val="2"/>
        <w:spacing w:before="1" w:line="315" w:lineRule="auto"/>
        <w:ind w:left="26" w:right="85" w:hanging="18"/>
      </w:pPr>
      <w:r>
        <w:rPr>
          <w:spacing w:val="-1"/>
        </w:rPr>
        <w:t>②</w:t>
      </w:r>
      <w:r>
        <w:rPr>
          <w:spacing w:val="-67"/>
        </w:rPr>
        <w:t xml:space="preserve"> </w:t>
      </w:r>
      <w:r>
        <w:rPr>
          <w:spacing w:val="-1"/>
        </w:rPr>
        <w:t>：在美对华加征关税保持较高水平的背景下，我国出口份额仍稳中有升，体现出我国出口贸易具有较强</w:t>
      </w:r>
      <w:r>
        <w:rPr>
          <w:spacing w:val="-3"/>
        </w:rPr>
        <w:t>的抗压能力和韧性，正确。</w:t>
      </w:r>
    </w:p>
    <w:p w14:paraId="6B9F1C06">
      <w:pPr>
        <w:pStyle w:val="2"/>
        <w:spacing w:before="218" w:line="217" w:lineRule="auto"/>
        <w:ind w:left="8"/>
      </w:pPr>
      <w:r>
        <w:rPr>
          <w:spacing w:val="-1"/>
        </w:rPr>
        <w:t>③</w:t>
      </w:r>
      <w:r>
        <w:rPr>
          <w:spacing w:val="-79"/>
        </w:rPr>
        <w:t xml:space="preserve"> </w:t>
      </w:r>
      <w:r>
        <w:rPr>
          <w:spacing w:val="-1"/>
        </w:rPr>
        <w:t>：关税壁垒抬高出口成本，会压制出口发展，并非激励出口，</w:t>
      </w:r>
      <w:r>
        <w:rPr>
          <w:spacing w:val="-2"/>
        </w:rPr>
        <w:t>排除。</w:t>
      </w:r>
    </w:p>
    <w:p w14:paraId="14FA4586">
      <w:pPr>
        <w:pStyle w:val="2"/>
        <w:spacing w:before="221" w:line="217" w:lineRule="auto"/>
        <w:jc w:val="right"/>
      </w:pPr>
      <w:r>
        <w:rPr>
          <w:spacing w:val="-1"/>
        </w:rPr>
        <w:t>④</w:t>
      </w:r>
      <w:r>
        <w:rPr>
          <w:spacing w:val="-79"/>
        </w:rPr>
        <w:t xml:space="preserve"> </w:t>
      </w:r>
      <w:r>
        <w:rPr>
          <w:spacing w:val="-1"/>
        </w:rPr>
        <w:t>：尽管面临个别国家的贸易壁垒（如加征关税</w:t>
      </w:r>
      <w:r>
        <w:rPr>
          <w:spacing w:val="-52"/>
        </w:rPr>
        <w:t>），</w:t>
      </w:r>
      <w:r>
        <w:rPr>
          <w:spacing w:val="-1"/>
        </w:rPr>
        <w:t>但中国出口在全球主要经济体中的</w:t>
      </w:r>
      <w:r>
        <w:rPr>
          <w:spacing w:val="-2"/>
        </w:rPr>
        <w:t>份额依然保持增长态</w:t>
      </w:r>
    </w:p>
    <w:p w14:paraId="48655CF4">
      <w:pPr>
        <w:pStyle w:val="2"/>
        <w:spacing w:before="256" w:line="219" w:lineRule="auto"/>
        <w:ind w:left="4170"/>
      </w:pPr>
      <w:r>
        <w:drawing>
          <wp:anchor distT="0" distB="0" distL="0" distR="0" simplePos="0" relativeHeight="251665408" behindDoc="0" locked="0" layoutInCell="1" allowOverlap="1">
            <wp:simplePos x="0" y="0"/>
            <wp:positionH relativeFrom="column">
              <wp:posOffset>810260</wp:posOffset>
            </wp:positionH>
            <wp:positionV relativeFrom="paragraph">
              <wp:posOffset>184785</wp:posOffset>
            </wp:positionV>
            <wp:extent cx="9525" cy="952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7F765C2">
      <w:pPr>
        <w:spacing w:line="219" w:lineRule="auto"/>
        <w:sectPr>
          <w:pgSz w:w="11900" w:h="16839"/>
          <w:pgMar w:top="400" w:right="1073" w:bottom="0" w:left="1078" w:header="0" w:footer="0" w:gutter="0"/>
          <w:cols w:space="720" w:num="1"/>
        </w:sectPr>
      </w:pPr>
    </w:p>
    <w:p w14:paraId="2034B602">
      <w:pPr>
        <w:spacing w:line="244" w:lineRule="auto"/>
        <w:rPr>
          <w:rFonts w:ascii="Arial"/>
          <w:sz w:val="21"/>
        </w:rPr>
      </w:pPr>
    </w:p>
    <w:p w14:paraId="362A4345">
      <w:pPr>
        <w:spacing w:line="245" w:lineRule="auto"/>
        <w:rPr>
          <w:rFonts w:ascii="Arial"/>
          <w:sz w:val="21"/>
        </w:rPr>
      </w:pPr>
    </w:p>
    <w:p w14:paraId="344B7AC7">
      <w:pPr>
        <w:spacing w:line="375" w:lineRule="exact"/>
        <w:ind w:firstLine="1321"/>
      </w:pPr>
    </w:p>
    <w:p w14:paraId="7EEAA96B">
      <w:pPr>
        <w:pStyle w:val="2"/>
        <w:spacing w:before="183" w:line="219" w:lineRule="auto"/>
        <w:ind w:left="14"/>
      </w:pPr>
      <w:r>
        <w:pict>
          <v:rect id="_x0000_s1028" o:spid="_x0000_s1028" o:spt="1" style="position:absolute;left:0pt;margin-left:351.05pt;margin-top:10.1pt;height:0.75pt;width:0.75pt;z-index:251667456;mso-width-relative:page;mso-height-relative:page;" fillcolor="#211D0A" filled="t" stroked="f" coordsize="21600,21600">
            <v:path/>
            <v:fill on="t" opacity="27499f" focussize="0,0"/>
            <v:stroke on="f"/>
            <v:imagedata o:title=""/>
            <o:lock v:ext="edit"/>
          </v:rect>
        </w:pict>
      </w:r>
      <w:r>
        <w:rPr>
          <w:spacing w:val="-1"/>
        </w:rPr>
        <w:t>势，这表明各国经济联系紧密，经济全球化的趋势不可逆转，正确。</w:t>
      </w:r>
    </w:p>
    <w:p w14:paraId="4E8BE376">
      <w:pPr>
        <w:pStyle w:val="2"/>
        <w:spacing w:before="218" w:line="347" w:lineRule="auto"/>
        <w:ind w:left="9" w:firstLine="17"/>
      </w:pPr>
      <w:r>
        <w:rPr>
          <w:rFonts w:ascii="Times New Roman" w:hAnsi="Times New Roman" w:eastAsia="Times New Roman" w:cs="Times New Roman"/>
          <w:spacing w:val="-1"/>
        </w:rPr>
        <w:t xml:space="preserve">13. </w:t>
      </w:r>
      <w:r>
        <w:rPr>
          <w:spacing w:val="-1"/>
        </w:rPr>
        <w:t>A</w:t>
      </w:r>
      <w:r>
        <w:rPr>
          <w:spacing w:val="-45"/>
        </w:rPr>
        <w:t xml:space="preserve"> </w:t>
      </w:r>
      <w:r>
        <w:rPr>
          <w:spacing w:val="-1"/>
        </w:rPr>
        <w:t>视频平台未经</w:t>
      </w:r>
      <w:r>
        <w:rPr>
          <w:spacing w:val="-49"/>
        </w:rPr>
        <w:t xml:space="preserve"> </w:t>
      </w:r>
      <w:r>
        <w:rPr>
          <w:spacing w:val="-1"/>
        </w:rPr>
        <w:t>B</w:t>
      </w:r>
      <w:r>
        <w:rPr>
          <w:spacing w:val="-46"/>
        </w:rPr>
        <w:t xml:space="preserve"> </w:t>
      </w:r>
      <w:r>
        <w:rPr>
          <w:spacing w:val="-1"/>
        </w:rPr>
        <w:t>传媒公司授权却上线其爆款原创视频作品谋利，被</w:t>
      </w:r>
      <w:r>
        <w:rPr>
          <w:spacing w:val="-50"/>
        </w:rPr>
        <w:t xml:space="preserve"> </w:t>
      </w:r>
      <w:r>
        <w:rPr>
          <w:spacing w:val="-1"/>
        </w:rPr>
        <w:t>B</w:t>
      </w:r>
      <w:r>
        <w:rPr>
          <w:spacing w:val="-46"/>
        </w:rPr>
        <w:t xml:space="preserve"> </w:t>
      </w:r>
      <w:r>
        <w:rPr>
          <w:spacing w:val="-1"/>
        </w:rPr>
        <w:t>传媒公司起诉至某视频</w:t>
      </w:r>
      <w:r>
        <w:rPr>
          <w:spacing w:val="-2"/>
        </w:rPr>
        <w:t>文创产业</w:t>
      </w:r>
      <w:r>
        <w:rPr>
          <w:spacing w:val="-1"/>
        </w:rPr>
        <w:t>园区法庭。立案后，承办法官组织调解，释明了作品性质、创作难度、作品价值等因素</w:t>
      </w:r>
      <w:r>
        <w:rPr>
          <w:spacing w:val="-2"/>
        </w:rPr>
        <w:t>对赔偿金额的影响，</w:t>
      </w:r>
      <w:r>
        <w:rPr>
          <w:spacing w:val="1"/>
        </w:rPr>
        <w:t>劝导以和为贵，引导双方就赔偿数额等自愿达成共</w:t>
      </w:r>
      <w:r>
        <w:t>识。最终双方当事人签收了调解书。本案中 (   )</w:t>
      </w:r>
    </w:p>
    <w:p w14:paraId="53083B66">
      <w:pPr>
        <w:pStyle w:val="2"/>
        <w:spacing w:before="219" w:line="217" w:lineRule="auto"/>
        <w:ind w:left="9"/>
      </w:pPr>
      <w:r>
        <w:rPr>
          <w:spacing w:val="-1"/>
        </w:rPr>
        <w:t>①当事人签收后的调解书具有强制执行力</w:t>
      </w:r>
    </w:p>
    <w:p w14:paraId="4133868D">
      <w:pPr>
        <w:pStyle w:val="2"/>
        <w:spacing w:before="221" w:line="217" w:lineRule="auto"/>
        <w:ind w:left="8"/>
      </w:pPr>
      <w:r>
        <w:rPr>
          <w:spacing w:val="-1"/>
        </w:rPr>
        <w:t>②当事人得到了更加便捷高效的诉讼外调解服务</w:t>
      </w:r>
    </w:p>
    <w:p w14:paraId="0BD107E6">
      <w:pPr>
        <w:pStyle w:val="2"/>
        <w:spacing w:before="221" w:line="217" w:lineRule="auto"/>
        <w:ind w:left="8"/>
      </w:pPr>
      <w:r>
        <w:rPr>
          <w:spacing w:val="-1"/>
        </w:rPr>
        <w:t>③情理法有机融合，中华优秀传统法律文化得到传承</w:t>
      </w:r>
    </w:p>
    <w:p w14:paraId="77A0C0CF">
      <w:pPr>
        <w:pStyle w:val="2"/>
        <w:spacing w:before="221" w:line="217" w:lineRule="auto"/>
        <w:ind w:left="8"/>
      </w:pPr>
      <w:r>
        <w:rPr>
          <w:spacing w:val="-1"/>
        </w:rPr>
        <w:t>④信息网络传播权的保护期是该作品创作完成后</w:t>
      </w:r>
      <w:r>
        <w:rPr>
          <w:spacing w:val="-37"/>
        </w:rPr>
        <w:t xml:space="preserve"> </w:t>
      </w:r>
      <w:r>
        <w:rPr>
          <w:spacing w:val="-1"/>
        </w:rPr>
        <w:t>50</w:t>
      </w:r>
      <w:r>
        <w:rPr>
          <w:spacing w:val="-43"/>
        </w:rPr>
        <w:t xml:space="preserve"> </w:t>
      </w:r>
      <w:r>
        <w:rPr>
          <w:spacing w:val="-1"/>
        </w:rPr>
        <w:t>年</w:t>
      </w:r>
    </w:p>
    <w:p w14:paraId="6004FD6C">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72E78C74">
      <w:pPr>
        <w:pStyle w:val="2"/>
        <w:spacing w:before="1" w:line="220" w:lineRule="auto"/>
      </w:pPr>
      <w:r>
        <w:rPr>
          <w:color w:val="2E75B6"/>
        </w:rPr>
        <w:t>【解析】</w:t>
      </w:r>
    </w:p>
    <w:p w14:paraId="08B14E65">
      <w:pPr>
        <w:pStyle w:val="2"/>
        <w:spacing w:before="217" w:line="217" w:lineRule="auto"/>
      </w:pPr>
      <w:r>
        <w:t>【详解】①</w:t>
      </w:r>
      <w:r>
        <w:rPr>
          <w:spacing w:val="-79"/>
        </w:rPr>
        <w:t xml:space="preserve"> </w:t>
      </w:r>
      <w:r>
        <w:t>：法院调解书经双方当事人签收</w:t>
      </w:r>
      <w:r>
        <w:rPr>
          <w:spacing w:val="-1"/>
        </w:rPr>
        <w:t>后，与判决书具有同等法律效力，具有强制执行力，正确。</w:t>
      </w:r>
    </w:p>
    <w:p w14:paraId="26B9AB96">
      <w:pPr>
        <w:pStyle w:val="2"/>
        <w:spacing w:before="222" w:line="315" w:lineRule="auto"/>
        <w:ind w:left="8" w:right="163"/>
      </w:pPr>
      <w:r>
        <w:rPr>
          <w:spacing w:val="-1"/>
        </w:rPr>
        <w:t>②</w:t>
      </w:r>
      <w:r>
        <w:rPr>
          <w:spacing w:val="-79"/>
        </w:rPr>
        <w:t xml:space="preserve"> </w:t>
      </w:r>
      <w:r>
        <w:rPr>
          <w:spacing w:val="-1"/>
        </w:rPr>
        <w:t>：本案是在诉讼过程中由法院主持的调解，属于诉讼调解，并非“</w:t>
      </w:r>
      <w:r>
        <w:rPr>
          <w:spacing w:val="-2"/>
        </w:rPr>
        <w:t>诉讼外调解服务</w:t>
      </w:r>
      <w:r>
        <w:rPr>
          <w:spacing w:val="-77"/>
        </w:rPr>
        <w:t xml:space="preserve"> </w:t>
      </w:r>
      <w:r>
        <w:rPr>
          <w:spacing w:val="-2"/>
        </w:rPr>
        <w:t>”（如人民调解、行</w:t>
      </w:r>
      <w:r>
        <w:rPr>
          <w:spacing w:val="-3"/>
        </w:rPr>
        <w:t>政调解等</w:t>
      </w:r>
      <w:r>
        <w:rPr>
          <w:spacing w:val="-47"/>
        </w:rPr>
        <w:t>），</w:t>
      </w:r>
      <w:r>
        <w:rPr>
          <w:spacing w:val="-3"/>
        </w:rPr>
        <w:t>排除。</w:t>
      </w:r>
    </w:p>
    <w:p w14:paraId="47ADD696">
      <w:pPr>
        <w:pStyle w:val="2"/>
        <w:spacing w:before="220" w:line="315" w:lineRule="auto"/>
        <w:ind w:left="10" w:right="163" w:hanging="2"/>
      </w:pPr>
      <w:r>
        <w:rPr>
          <w:spacing w:val="-2"/>
        </w:rPr>
        <w:t>③</w:t>
      </w:r>
      <w:r>
        <w:rPr>
          <w:spacing w:val="-79"/>
        </w:rPr>
        <w:t xml:space="preserve"> </w:t>
      </w:r>
      <w:r>
        <w:rPr>
          <w:spacing w:val="-2"/>
        </w:rPr>
        <w:t>：法院以“</w:t>
      </w:r>
      <w:r>
        <w:rPr>
          <w:spacing w:val="-73"/>
        </w:rPr>
        <w:t xml:space="preserve"> </w:t>
      </w:r>
      <w:r>
        <w:rPr>
          <w:spacing w:val="-2"/>
        </w:rPr>
        <w:t>以和为贵</w:t>
      </w:r>
      <w:r>
        <w:rPr>
          <w:spacing w:val="-77"/>
        </w:rPr>
        <w:t xml:space="preserve"> </w:t>
      </w:r>
      <w:r>
        <w:rPr>
          <w:spacing w:val="-2"/>
        </w:rPr>
        <w:t>”理念引导当事人自愿达成共识，体现了情理法的有机融合，传承了中华优秀</w:t>
      </w:r>
      <w:r>
        <w:rPr>
          <w:spacing w:val="-3"/>
        </w:rPr>
        <w:t>传统</w:t>
      </w:r>
      <w:r>
        <w:rPr>
          <w:spacing w:val="-1"/>
        </w:rPr>
        <w:t>法律文化中的和谐司法理念，正确。</w:t>
      </w:r>
    </w:p>
    <w:p w14:paraId="04FF3077">
      <w:pPr>
        <w:pStyle w:val="2"/>
        <w:spacing w:before="219" w:line="315" w:lineRule="auto"/>
        <w:ind w:left="10" w:right="77" w:hanging="2"/>
      </w:pPr>
      <w:r>
        <w:rPr>
          <w:spacing w:val="-1"/>
        </w:rPr>
        <w:t>④</w:t>
      </w:r>
      <w:r>
        <w:rPr>
          <w:spacing w:val="-79"/>
        </w:rPr>
        <w:t xml:space="preserve"> </w:t>
      </w:r>
      <w:r>
        <w:rPr>
          <w:spacing w:val="-1"/>
        </w:rPr>
        <w:t>：著作权属于法人或者非法人组织的，发表权的</w:t>
      </w:r>
      <w:r>
        <w:rPr>
          <w:spacing w:val="-2"/>
        </w:rPr>
        <w:t>保护期是作品创作完成后</w:t>
      </w:r>
      <w:r>
        <w:rPr>
          <w:spacing w:val="-42"/>
        </w:rPr>
        <w:t xml:space="preserve"> </w:t>
      </w:r>
      <w:r>
        <w:rPr>
          <w:spacing w:val="-2"/>
        </w:rPr>
        <w:t>50</w:t>
      </w:r>
      <w:r>
        <w:rPr>
          <w:spacing w:val="-44"/>
        </w:rPr>
        <w:t xml:space="preserve"> </w:t>
      </w:r>
      <w:r>
        <w:rPr>
          <w:spacing w:val="-2"/>
        </w:rPr>
        <w:t>年；著作财产权的保护期是</w:t>
      </w:r>
      <w:r>
        <w:rPr>
          <w:spacing w:val="-1"/>
        </w:rPr>
        <w:t>作品发表后</w:t>
      </w:r>
      <w:r>
        <w:rPr>
          <w:spacing w:val="-40"/>
        </w:rPr>
        <w:t xml:space="preserve"> </w:t>
      </w:r>
      <w:r>
        <w:rPr>
          <w:spacing w:val="-1"/>
        </w:rPr>
        <w:t>50</w:t>
      </w:r>
      <w:r>
        <w:rPr>
          <w:spacing w:val="-44"/>
        </w:rPr>
        <w:t xml:space="preserve"> </w:t>
      </w:r>
      <w:r>
        <w:rPr>
          <w:spacing w:val="-1"/>
        </w:rPr>
        <w:t>年，但作品自创作完成后</w:t>
      </w:r>
      <w:r>
        <w:rPr>
          <w:spacing w:val="-40"/>
        </w:rPr>
        <w:t xml:space="preserve"> </w:t>
      </w:r>
      <w:r>
        <w:rPr>
          <w:spacing w:val="-1"/>
        </w:rPr>
        <w:t>50</w:t>
      </w:r>
      <w:r>
        <w:rPr>
          <w:spacing w:val="-44"/>
        </w:rPr>
        <w:t xml:space="preserve"> </w:t>
      </w:r>
      <w:r>
        <w:rPr>
          <w:spacing w:val="-1"/>
        </w:rPr>
        <w:t>年</w:t>
      </w:r>
      <w:r>
        <w:rPr>
          <w:spacing w:val="-2"/>
        </w:rPr>
        <w:t>内未发表的，法律不再保护，排除。</w:t>
      </w:r>
    </w:p>
    <w:p w14:paraId="2C60FD72">
      <w:pPr>
        <w:pStyle w:val="2"/>
        <w:spacing w:before="220" w:line="363" w:lineRule="auto"/>
        <w:ind w:left="11" w:right="77" w:firstLine="14"/>
      </w:pPr>
      <w:r>
        <w:rPr>
          <w:rFonts w:ascii="Times New Roman" w:hAnsi="Times New Roman" w:eastAsia="Times New Roman" w:cs="Times New Roman"/>
          <w:spacing w:val="-2"/>
        </w:rPr>
        <w:t xml:space="preserve">14.  </w:t>
      </w:r>
      <w:r>
        <w:rPr>
          <w:spacing w:val="-2"/>
        </w:rPr>
        <w:t>李某超车撞倒骑电动自行车的蒋某后逃逸，蒋某丈夫吕某见状追上去拦停。吕某仅拉住李某电动自行车</w:t>
      </w:r>
      <w:r>
        <w:t>车把，不料造成李某摔倒骨折。交警认定李某酒后骑车撞人逃逸负全责。因拦停</w:t>
      </w:r>
      <w:r>
        <w:rPr>
          <w:spacing w:val="-1"/>
        </w:rPr>
        <w:t>时双方在监控盲区，交警</w:t>
      </w:r>
      <w:r>
        <w:t>无法认定李某骨折是否由交通事故所致，未现场处理。后李某起诉吕某，要求赔</w:t>
      </w:r>
      <w:r>
        <w:rPr>
          <w:spacing w:val="-1"/>
        </w:rPr>
        <w:t>偿医疗费等，一审法院予</w:t>
      </w:r>
      <w:r>
        <w:rPr>
          <w:spacing w:val="-7"/>
        </w:rPr>
        <w:t>以驳回。本案中</w:t>
      </w:r>
      <w:r>
        <w:rPr>
          <w:spacing w:val="21"/>
        </w:rPr>
        <w:t xml:space="preserve"> </w:t>
      </w:r>
      <w:r>
        <w:rPr>
          <w:spacing w:val="-7"/>
        </w:rPr>
        <w:t>(</w:t>
      </w:r>
      <w:r>
        <w:rPr>
          <w:spacing w:val="20"/>
        </w:rPr>
        <w:t xml:space="preserve">   </w:t>
      </w:r>
      <w:r>
        <w:rPr>
          <w:spacing w:val="-7"/>
        </w:rPr>
        <w:t>)</w:t>
      </w:r>
    </w:p>
    <w:p w14:paraId="6E33F92A">
      <w:pPr>
        <w:pStyle w:val="2"/>
        <w:spacing w:before="219" w:line="217" w:lineRule="auto"/>
        <w:ind w:left="9"/>
      </w:pPr>
      <w:r>
        <w:rPr>
          <w:spacing w:val="-1"/>
        </w:rPr>
        <w:t>①吕某拦停李某的行为符合公序良俗原则</w:t>
      </w:r>
    </w:p>
    <w:p w14:paraId="535D6002">
      <w:pPr>
        <w:pStyle w:val="2"/>
        <w:spacing w:before="221" w:line="217" w:lineRule="auto"/>
        <w:ind w:left="8"/>
      </w:pPr>
      <w:r>
        <w:rPr>
          <w:spacing w:val="-1"/>
        </w:rPr>
        <w:t>②原告人李某若不服判决，可聘请辩护人维权</w:t>
      </w:r>
    </w:p>
    <w:p w14:paraId="042F07F5">
      <w:pPr>
        <w:pStyle w:val="2"/>
        <w:spacing w:before="221" w:line="217" w:lineRule="auto"/>
        <w:ind w:left="8"/>
      </w:pPr>
      <w:r>
        <w:rPr>
          <w:spacing w:val="-1"/>
        </w:rPr>
        <w:t>③因生命权受到侵害，李某可在规定期限内上诉</w:t>
      </w:r>
    </w:p>
    <w:p w14:paraId="5FB1CBE1">
      <w:pPr>
        <w:pStyle w:val="2"/>
        <w:spacing w:before="222" w:line="217" w:lineRule="auto"/>
        <w:ind w:left="8"/>
      </w:pPr>
      <w:r>
        <w:rPr>
          <w:spacing w:val="-1"/>
        </w:rPr>
        <w:t>④李某应提供证据证明其骨折是由吕某的行为所致</w:t>
      </w:r>
    </w:p>
    <w:p w14:paraId="496D9B6F">
      <w:pPr>
        <w:pStyle w:val="2"/>
        <w:spacing w:before="221"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0E12BC61">
      <w:pPr>
        <w:pStyle w:val="2"/>
        <w:spacing w:line="220" w:lineRule="auto"/>
      </w:pPr>
      <w:r>
        <w:rPr>
          <w:color w:val="2E75B6"/>
        </w:rPr>
        <w:t>【解析】</w:t>
      </w:r>
    </w:p>
    <w:p w14:paraId="5185993B">
      <w:pPr>
        <w:pStyle w:val="2"/>
        <w:spacing w:before="214" w:line="217" w:lineRule="auto"/>
      </w:pPr>
      <w:r>
        <w:t>【详解】①</w:t>
      </w:r>
      <w:r>
        <w:rPr>
          <w:spacing w:val="-79"/>
        </w:rPr>
        <w:t xml:space="preserve"> </w:t>
      </w:r>
      <w:r>
        <w:t>：吕某作为被撞者的丈夫，追上去</w:t>
      </w:r>
      <w:r>
        <w:rPr>
          <w:spacing w:val="-1"/>
        </w:rPr>
        <w:t>拦停肇事逃逸的李某，是合理的维权行为，符合公序良俗，</w:t>
      </w:r>
    </w:p>
    <w:p w14:paraId="3B476613">
      <w:pPr>
        <w:pStyle w:val="2"/>
        <w:spacing w:before="104"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88900</wp:posOffset>
            </wp:positionV>
            <wp:extent cx="9525" cy="952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0"/>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ECBAD2E">
      <w:pPr>
        <w:spacing w:line="219" w:lineRule="auto"/>
        <w:sectPr>
          <w:pgSz w:w="11900" w:h="16839"/>
          <w:pgMar w:top="400" w:right="996" w:bottom="0" w:left="1078" w:header="0" w:footer="0" w:gutter="0"/>
          <w:cols w:space="720" w:num="1"/>
        </w:sectPr>
      </w:pPr>
    </w:p>
    <w:p w14:paraId="5776B0DB">
      <w:pPr>
        <w:spacing w:line="244" w:lineRule="auto"/>
        <w:rPr>
          <w:rFonts w:ascii="Arial"/>
          <w:sz w:val="21"/>
        </w:rPr>
      </w:pPr>
    </w:p>
    <w:p w14:paraId="7177F034">
      <w:pPr>
        <w:spacing w:line="245" w:lineRule="auto"/>
        <w:rPr>
          <w:rFonts w:ascii="Arial"/>
          <w:sz w:val="21"/>
        </w:rPr>
      </w:pPr>
    </w:p>
    <w:p w14:paraId="774B4351">
      <w:pPr>
        <w:spacing w:line="375" w:lineRule="exact"/>
        <w:ind w:firstLine="1321"/>
      </w:pPr>
    </w:p>
    <w:p w14:paraId="4F8940FE">
      <w:pPr>
        <w:pStyle w:val="2"/>
        <w:spacing w:before="183" w:line="220" w:lineRule="auto"/>
        <w:ind w:left="14"/>
      </w:pPr>
      <w:r>
        <w:pict>
          <v:rect id="_x0000_s1029" o:spid="_x0000_s1029" o:spt="1" style="position:absolute;left:0pt;margin-left:351.05pt;margin-top:10.1pt;height:0.75pt;width:0.75pt;z-index:251668480;mso-width-relative:page;mso-height-relative:page;" fillcolor="#211D0A" filled="t" stroked="f" coordsize="21600,21600">
            <v:path/>
            <v:fill on="t" opacity="27499f" focussize="0,0"/>
            <v:stroke on="f"/>
            <v:imagedata o:title=""/>
            <o:lock v:ext="edit"/>
          </v:rect>
        </w:pict>
      </w:r>
      <w:r>
        <w:rPr>
          <w:spacing w:val="-5"/>
        </w:rPr>
        <w:t>正确。</w:t>
      </w:r>
    </w:p>
    <w:p w14:paraId="7D522312">
      <w:pPr>
        <w:pStyle w:val="2"/>
        <w:spacing w:before="213" w:line="217" w:lineRule="auto"/>
        <w:ind w:left="8"/>
      </w:pPr>
      <w:r>
        <w:rPr>
          <w:spacing w:val="-1"/>
        </w:rPr>
        <w:t>②</w:t>
      </w:r>
      <w:r>
        <w:rPr>
          <w:spacing w:val="-77"/>
        </w:rPr>
        <w:t xml:space="preserve"> </w:t>
      </w:r>
      <w:r>
        <w:rPr>
          <w:spacing w:val="-1"/>
        </w:rPr>
        <w:t>：本案是民事诉讼，李某作为原告，应委托诉讼代理人，而不是辩护人，错误。</w:t>
      </w:r>
    </w:p>
    <w:p w14:paraId="5900231C">
      <w:pPr>
        <w:pStyle w:val="2"/>
        <w:spacing w:before="221" w:line="217" w:lineRule="auto"/>
        <w:ind w:left="8"/>
      </w:pPr>
      <w:r>
        <w:rPr>
          <w:spacing w:val="-1"/>
        </w:rPr>
        <w:t>③</w:t>
      </w:r>
      <w:r>
        <w:rPr>
          <w:spacing w:val="-79"/>
        </w:rPr>
        <w:t xml:space="preserve"> </w:t>
      </w:r>
      <w:r>
        <w:rPr>
          <w:spacing w:val="-1"/>
        </w:rPr>
        <w:t>：李某只是骨折，属于健康权受到侵害，不是生</w:t>
      </w:r>
      <w:r>
        <w:rPr>
          <w:spacing w:val="-2"/>
        </w:rPr>
        <w:t>命权，排除。</w:t>
      </w:r>
    </w:p>
    <w:p w14:paraId="7FD71E66">
      <w:pPr>
        <w:pStyle w:val="2"/>
        <w:spacing w:before="220" w:line="318" w:lineRule="auto"/>
        <w:ind w:left="26" w:right="215" w:hanging="18"/>
      </w:pPr>
      <w:r>
        <w:rPr>
          <w:spacing w:val="-1"/>
        </w:rPr>
        <w:t>④</w:t>
      </w:r>
      <w:r>
        <w:rPr>
          <w:spacing w:val="-79"/>
        </w:rPr>
        <w:t xml:space="preserve"> </w:t>
      </w:r>
      <w:r>
        <w:rPr>
          <w:spacing w:val="-1"/>
        </w:rPr>
        <w:t>：民事诉讼遵循“谁主张，谁举证</w:t>
      </w:r>
      <w:r>
        <w:rPr>
          <w:spacing w:val="-77"/>
        </w:rPr>
        <w:t xml:space="preserve"> </w:t>
      </w:r>
      <w:r>
        <w:rPr>
          <w:spacing w:val="-1"/>
        </w:rPr>
        <w:t>”的原则，李某要求吕某赔偿，</w:t>
      </w:r>
      <w:r>
        <w:rPr>
          <w:spacing w:val="-2"/>
        </w:rPr>
        <w:t>需要举证证明骨折与吕某的行为存在</w:t>
      </w:r>
      <w:r>
        <w:rPr>
          <w:spacing w:val="-4"/>
        </w:rPr>
        <w:t>因果关系，正确。</w:t>
      </w:r>
    </w:p>
    <w:p w14:paraId="01B7E43D">
      <w:pPr>
        <w:pStyle w:val="2"/>
        <w:spacing w:before="218" w:line="315" w:lineRule="auto"/>
        <w:ind w:left="13" w:firstLine="13"/>
      </w:pPr>
      <w:r>
        <w:rPr>
          <w:rFonts w:ascii="Times New Roman" w:hAnsi="Times New Roman" w:eastAsia="Times New Roman" w:cs="Times New Roman"/>
          <w:spacing w:val="-3"/>
        </w:rPr>
        <w:t xml:space="preserve">15.  </w:t>
      </w:r>
      <w:r>
        <w:rPr>
          <w:spacing w:val="-3"/>
        </w:rPr>
        <w:t>名为“</w:t>
      </w:r>
      <w:r>
        <w:rPr>
          <w:spacing w:val="-77"/>
        </w:rPr>
        <w:t xml:space="preserve"> </w:t>
      </w:r>
      <w:r>
        <w:rPr>
          <w:spacing w:val="-3"/>
        </w:rPr>
        <w:t>中国绞车</w:t>
      </w:r>
      <w:r>
        <w:rPr>
          <w:spacing w:val="-77"/>
        </w:rPr>
        <w:t xml:space="preserve"> </w:t>
      </w:r>
      <w:r>
        <w:rPr>
          <w:spacing w:val="-3"/>
        </w:rPr>
        <w:t>”的机器，是著名的韦斯顿差动起重滑车的</w:t>
      </w:r>
      <w:r>
        <w:rPr>
          <w:spacing w:val="-4"/>
        </w:rPr>
        <w:t>“祖先</w:t>
      </w:r>
      <w:r>
        <w:rPr>
          <w:spacing w:val="-77"/>
        </w:rPr>
        <w:t xml:space="preserve"> </w:t>
      </w:r>
      <w:r>
        <w:rPr>
          <w:spacing w:val="-4"/>
        </w:rPr>
        <w:t>”。约在</w:t>
      </w:r>
      <w:r>
        <w:rPr>
          <w:spacing w:val="-28"/>
        </w:rPr>
        <w:t xml:space="preserve"> </w:t>
      </w:r>
      <w:r>
        <w:rPr>
          <w:rFonts w:ascii="Times New Roman" w:hAnsi="Times New Roman" w:eastAsia="Times New Roman" w:cs="Times New Roman"/>
          <w:spacing w:val="-4"/>
        </w:rPr>
        <w:t xml:space="preserve">1840 </w:t>
      </w:r>
      <w:r>
        <w:rPr>
          <w:spacing w:val="-4"/>
        </w:rPr>
        <w:t>年，有外国文献提到，</w:t>
      </w:r>
      <w:r>
        <w:rPr>
          <w:spacing w:val="-2"/>
        </w:rPr>
        <w:t>一百年前的中国图画中出现过类似设备。据此可判断 (</w:t>
      </w:r>
      <w:r>
        <w:rPr>
          <w:spacing w:val="23"/>
        </w:rPr>
        <w:t xml:space="preserve">   </w:t>
      </w:r>
      <w:r>
        <w:rPr>
          <w:spacing w:val="-2"/>
        </w:rPr>
        <w:t>)</w:t>
      </w:r>
    </w:p>
    <w:p w14:paraId="32E212EF">
      <w:pPr>
        <w:spacing w:before="216" w:line="2235" w:lineRule="exact"/>
        <w:ind w:firstLine="1"/>
      </w:pPr>
      <w:r>
        <w:rPr>
          <w:position w:val="-44"/>
        </w:rPr>
        <w:drawing>
          <wp:inline distT="0" distB="0" distL="0" distR="0">
            <wp:extent cx="2047875" cy="14192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2"/>
                    <a:stretch>
                      <a:fillRect/>
                    </a:stretch>
                  </pic:blipFill>
                  <pic:spPr>
                    <a:xfrm>
                      <a:off x="0" y="0"/>
                      <a:ext cx="2047875" cy="1419225"/>
                    </a:xfrm>
                    <a:prstGeom prst="rect">
                      <a:avLst/>
                    </a:prstGeom>
                  </pic:spPr>
                </pic:pic>
              </a:graphicData>
            </a:graphic>
          </wp:inline>
        </w:drawing>
      </w:r>
    </w:p>
    <w:p w14:paraId="6334506A">
      <w:pPr>
        <w:pStyle w:val="2"/>
        <w:spacing w:before="263" w:line="217" w:lineRule="auto"/>
        <w:ind w:left="9"/>
      </w:pPr>
      <w:r>
        <w:rPr>
          <w:spacing w:val="-1"/>
        </w:rPr>
        <w:t>①成为中国绞车是成为机器的充分条件</w:t>
      </w:r>
    </w:p>
    <w:p w14:paraId="730F22A3">
      <w:pPr>
        <w:pStyle w:val="2"/>
        <w:spacing w:before="221" w:line="217" w:lineRule="auto"/>
        <w:ind w:left="8"/>
      </w:pPr>
      <w:r>
        <w:rPr>
          <w:spacing w:val="-6"/>
        </w:rPr>
        <w:t>②“</w:t>
      </w:r>
      <w:r>
        <w:rPr>
          <w:spacing w:val="-71"/>
        </w:rPr>
        <w:t xml:space="preserve"> </w:t>
      </w:r>
      <w:r>
        <w:rPr>
          <w:spacing w:val="-6"/>
        </w:rPr>
        <w:t>中国图画</w:t>
      </w:r>
      <w:r>
        <w:rPr>
          <w:spacing w:val="-77"/>
        </w:rPr>
        <w:t xml:space="preserve"> </w:t>
      </w:r>
      <w:r>
        <w:rPr>
          <w:spacing w:val="-6"/>
        </w:rPr>
        <w:t>”与“</w:t>
      </w:r>
      <w:r>
        <w:rPr>
          <w:spacing w:val="-77"/>
        </w:rPr>
        <w:t xml:space="preserve"> </w:t>
      </w:r>
      <w:r>
        <w:rPr>
          <w:spacing w:val="-6"/>
        </w:rPr>
        <w:t>中国绞车</w:t>
      </w:r>
      <w:r>
        <w:rPr>
          <w:spacing w:val="-77"/>
        </w:rPr>
        <w:t xml:space="preserve"> </w:t>
      </w:r>
      <w:r>
        <w:rPr>
          <w:spacing w:val="-6"/>
        </w:rPr>
        <w:t>”之间是种属关系</w:t>
      </w:r>
    </w:p>
    <w:p w14:paraId="3D22D22C">
      <w:pPr>
        <w:pStyle w:val="2"/>
        <w:spacing w:before="222" w:line="217" w:lineRule="auto"/>
        <w:ind w:left="8"/>
      </w:pPr>
      <w:r>
        <w:rPr>
          <w:spacing w:val="-3"/>
        </w:rPr>
        <w:t>③“一些机器是中国绞车</w:t>
      </w:r>
      <w:r>
        <w:rPr>
          <w:spacing w:val="-72"/>
        </w:rPr>
        <w:t xml:space="preserve"> </w:t>
      </w:r>
      <w:r>
        <w:rPr>
          <w:spacing w:val="-3"/>
        </w:rPr>
        <w:t>”中的“一些机器</w:t>
      </w:r>
      <w:r>
        <w:rPr>
          <w:spacing w:val="-77"/>
        </w:rPr>
        <w:t xml:space="preserve"> </w:t>
      </w:r>
      <w:r>
        <w:rPr>
          <w:spacing w:val="-3"/>
        </w:rPr>
        <w:t>”是主项</w:t>
      </w:r>
    </w:p>
    <w:p w14:paraId="6E05CFA3">
      <w:pPr>
        <w:pStyle w:val="2"/>
        <w:spacing w:before="221" w:line="217" w:lineRule="auto"/>
        <w:ind w:left="8"/>
      </w:pPr>
      <w:r>
        <w:rPr>
          <w:spacing w:val="-2"/>
        </w:rPr>
        <w:t>④“一些机器是中国绞车</w:t>
      </w:r>
      <w:r>
        <w:rPr>
          <w:spacing w:val="-75"/>
        </w:rPr>
        <w:t xml:space="preserve"> </w:t>
      </w:r>
      <w:r>
        <w:rPr>
          <w:spacing w:val="-2"/>
        </w:rPr>
        <w:t>”与“一些机器不是中国绞车</w:t>
      </w:r>
      <w:r>
        <w:rPr>
          <w:spacing w:val="-77"/>
        </w:rPr>
        <w:t xml:space="preserve"> </w:t>
      </w:r>
      <w:r>
        <w:rPr>
          <w:spacing w:val="-2"/>
        </w:rPr>
        <w:t>”不能同假但可同真</w:t>
      </w:r>
    </w:p>
    <w:p w14:paraId="134529E2">
      <w:pPr>
        <w:pStyle w:val="2"/>
        <w:spacing w:before="222" w:line="411" w:lineRule="auto"/>
        <w:ind w:right="189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585DE131">
      <w:pPr>
        <w:pStyle w:val="2"/>
        <w:spacing w:line="220" w:lineRule="auto"/>
      </w:pPr>
      <w:r>
        <w:rPr>
          <w:color w:val="2E75B6"/>
        </w:rPr>
        <w:t>【解析】</w:t>
      </w:r>
    </w:p>
    <w:p w14:paraId="27F13979">
      <w:pPr>
        <w:pStyle w:val="2"/>
        <w:spacing w:before="214" w:line="411" w:lineRule="auto"/>
        <w:ind w:left="30" w:right="129" w:hanging="30"/>
      </w:pPr>
      <w:r>
        <w:rPr>
          <w:spacing w:val="-1"/>
        </w:rPr>
        <w:t>【详解】①</w:t>
      </w:r>
      <w:r>
        <w:rPr>
          <w:spacing w:val="-65"/>
        </w:rPr>
        <w:t xml:space="preserve"> </w:t>
      </w:r>
      <w:r>
        <w:rPr>
          <w:spacing w:val="-1"/>
        </w:rPr>
        <w:t>：如果一个事物是中国绞车，那么它必然属于机器范畴，肯定前件就能肯定后件，因此</w:t>
      </w:r>
      <w:r>
        <w:rPr>
          <w:rFonts w:ascii="Times New Roman" w:hAnsi="Times New Roman" w:eastAsia="Times New Roman" w:cs="Times New Roman"/>
          <w:spacing w:val="-1"/>
        </w:rPr>
        <w:t>“</w:t>
      </w:r>
      <w:r>
        <w:rPr>
          <w:spacing w:val="-1"/>
        </w:rPr>
        <w:t>成为中</w:t>
      </w:r>
      <w:r>
        <w:rPr>
          <w:spacing w:val="-2"/>
        </w:rPr>
        <w:t>国绞车</w:t>
      </w:r>
      <w:r>
        <w:rPr>
          <w:rFonts w:ascii="Times New Roman" w:hAnsi="Times New Roman" w:eastAsia="Times New Roman" w:cs="Times New Roman"/>
          <w:spacing w:val="-2"/>
        </w:rPr>
        <w:t>”</w:t>
      </w:r>
      <w:r>
        <w:rPr>
          <w:spacing w:val="-2"/>
        </w:rPr>
        <w:t>是</w:t>
      </w:r>
      <w:r>
        <w:rPr>
          <w:rFonts w:ascii="Times New Roman" w:hAnsi="Times New Roman" w:eastAsia="Times New Roman" w:cs="Times New Roman"/>
          <w:spacing w:val="-2"/>
        </w:rPr>
        <w:t>“</w:t>
      </w:r>
      <w:r>
        <w:rPr>
          <w:spacing w:val="-2"/>
        </w:rPr>
        <w:t>成为机器</w:t>
      </w:r>
      <w:r>
        <w:rPr>
          <w:rFonts w:ascii="Times New Roman" w:hAnsi="Times New Roman" w:eastAsia="Times New Roman" w:cs="Times New Roman"/>
          <w:spacing w:val="-2"/>
        </w:rPr>
        <w:t>”</w:t>
      </w:r>
      <w:r>
        <w:rPr>
          <w:spacing w:val="-2"/>
        </w:rPr>
        <w:t>的充分条件，正确。</w:t>
      </w:r>
    </w:p>
    <w:p w14:paraId="00C4EA72">
      <w:pPr>
        <w:pStyle w:val="2"/>
        <w:spacing w:before="1" w:line="317" w:lineRule="auto"/>
        <w:ind w:left="11" w:right="157" w:hanging="3"/>
      </w:pPr>
      <w:r>
        <w:rPr>
          <w:spacing w:val="-3"/>
        </w:rPr>
        <w:t>②</w:t>
      </w:r>
      <w:r>
        <w:rPr>
          <w:spacing w:val="-71"/>
        </w:rPr>
        <w:t xml:space="preserve"> </w:t>
      </w:r>
      <w:r>
        <w:rPr>
          <w:spacing w:val="-3"/>
        </w:rPr>
        <w:t>：种属关系是指一个概念的外延包含另一个概念的全部外延，</w:t>
      </w:r>
      <w:r>
        <w:rPr>
          <w:rFonts w:ascii="Times New Roman" w:hAnsi="Times New Roman" w:eastAsia="Times New Roman" w:cs="Times New Roman"/>
          <w:spacing w:val="-3"/>
        </w:rPr>
        <w:t>“</w:t>
      </w:r>
      <w:r>
        <w:rPr>
          <w:spacing w:val="-3"/>
        </w:rPr>
        <w:t>中国图画</w:t>
      </w:r>
      <w:r>
        <w:rPr>
          <w:rFonts w:ascii="Times New Roman" w:hAnsi="Times New Roman" w:eastAsia="Times New Roman" w:cs="Times New Roman"/>
          <w:spacing w:val="-3"/>
        </w:rPr>
        <w:t>”</w:t>
      </w:r>
      <w:r>
        <w:rPr>
          <w:spacing w:val="-3"/>
        </w:rPr>
        <w:t>是记录</w:t>
      </w:r>
      <w:r>
        <w:rPr>
          <w:rFonts w:ascii="Times New Roman" w:hAnsi="Times New Roman" w:eastAsia="Times New Roman" w:cs="Times New Roman"/>
          <w:spacing w:val="-3"/>
        </w:rPr>
        <w:t>“</w:t>
      </w:r>
      <w:r>
        <w:rPr>
          <w:spacing w:val="-3"/>
        </w:rPr>
        <w:t>中国绞车</w:t>
      </w:r>
      <w:r>
        <w:rPr>
          <w:rFonts w:ascii="Times New Roman" w:hAnsi="Times New Roman" w:eastAsia="Times New Roman" w:cs="Times New Roman"/>
          <w:spacing w:val="-3"/>
        </w:rPr>
        <w:t>”</w:t>
      </w:r>
      <w:r>
        <w:rPr>
          <w:spacing w:val="-3"/>
        </w:rPr>
        <w:t>的载体，二者</w:t>
      </w:r>
      <w:r>
        <w:rPr>
          <w:spacing w:val="-1"/>
        </w:rPr>
        <w:t>属于不同类的概念，不存在种属关系，错误。</w:t>
      </w:r>
    </w:p>
    <w:p w14:paraId="26EED111">
      <w:pPr>
        <w:pStyle w:val="2"/>
        <w:spacing w:before="215" w:line="317" w:lineRule="auto"/>
        <w:ind w:left="11" w:right="129" w:hanging="3"/>
      </w:pPr>
      <w:r>
        <w:rPr>
          <w:spacing w:val="-5"/>
        </w:rPr>
        <w:t>③：性质判断的构成中，主项是断定的对象，即</w:t>
      </w:r>
      <w:r>
        <w:rPr>
          <w:rFonts w:ascii="Times New Roman" w:hAnsi="Times New Roman" w:eastAsia="Times New Roman" w:cs="Times New Roman"/>
          <w:spacing w:val="-5"/>
        </w:rPr>
        <w:t>“</w:t>
      </w:r>
      <w:r>
        <w:rPr>
          <w:spacing w:val="-5"/>
        </w:rPr>
        <w:t>机器</w:t>
      </w:r>
      <w:r>
        <w:rPr>
          <w:rFonts w:ascii="Times New Roman" w:hAnsi="Times New Roman" w:eastAsia="Times New Roman" w:cs="Times New Roman"/>
          <w:spacing w:val="-5"/>
        </w:rPr>
        <w:t>”</w:t>
      </w:r>
      <w:r>
        <w:rPr>
          <w:spacing w:val="-5"/>
        </w:rPr>
        <w:t>，</w:t>
      </w:r>
      <w:r>
        <w:rPr>
          <w:rFonts w:ascii="Times New Roman" w:hAnsi="Times New Roman" w:eastAsia="Times New Roman" w:cs="Times New Roman"/>
          <w:spacing w:val="-5"/>
        </w:rPr>
        <w:t>“</w:t>
      </w:r>
      <w:r>
        <w:rPr>
          <w:spacing w:val="-5"/>
        </w:rPr>
        <w:t>一些</w:t>
      </w:r>
      <w:r>
        <w:rPr>
          <w:rFonts w:ascii="Times New Roman" w:hAnsi="Times New Roman" w:eastAsia="Times New Roman" w:cs="Times New Roman"/>
          <w:spacing w:val="-5"/>
        </w:rPr>
        <w:t>”</w:t>
      </w:r>
      <w:r>
        <w:rPr>
          <w:spacing w:val="-5"/>
        </w:rPr>
        <w:t>是表示主项</w:t>
      </w:r>
      <w:r>
        <w:rPr>
          <w:spacing w:val="-6"/>
        </w:rPr>
        <w:t>范围的量项，</w:t>
      </w:r>
      <w:r>
        <w:rPr>
          <w:rFonts w:ascii="Times New Roman" w:hAnsi="Times New Roman" w:eastAsia="Times New Roman" w:cs="Times New Roman"/>
          <w:spacing w:val="-6"/>
        </w:rPr>
        <w:t>“</w:t>
      </w:r>
      <w:r>
        <w:rPr>
          <w:spacing w:val="-6"/>
        </w:rPr>
        <w:t>一些机器</w:t>
      </w:r>
      <w:r>
        <w:rPr>
          <w:rFonts w:ascii="Times New Roman" w:hAnsi="Times New Roman" w:eastAsia="Times New Roman" w:cs="Times New Roman"/>
          <w:spacing w:val="-6"/>
        </w:rPr>
        <w:t>”</w:t>
      </w:r>
      <w:r>
        <w:rPr>
          <w:spacing w:val="-6"/>
        </w:rPr>
        <w:t>是量项加</w:t>
      </w:r>
      <w:r>
        <w:rPr>
          <w:spacing w:val="-1"/>
        </w:rPr>
        <w:t>主项的组合，并非单纯的主项，错误。</w:t>
      </w:r>
    </w:p>
    <w:p w14:paraId="7FFC159A">
      <w:pPr>
        <w:pStyle w:val="2"/>
        <w:spacing w:before="214" w:line="317" w:lineRule="auto"/>
        <w:ind w:left="13" w:right="129" w:hanging="5"/>
      </w:pPr>
      <w:r>
        <w:rPr>
          <w:spacing w:val="-6"/>
        </w:rPr>
        <w:t>④：</w:t>
      </w:r>
      <w:r>
        <w:rPr>
          <w:rFonts w:ascii="Times New Roman" w:hAnsi="Times New Roman" w:eastAsia="Times New Roman" w:cs="Times New Roman"/>
          <w:spacing w:val="-6"/>
        </w:rPr>
        <w:t>“</w:t>
      </w:r>
      <w:r>
        <w:rPr>
          <w:spacing w:val="-6"/>
        </w:rPr>
        <w:t>一些机器是中国绞车</w:t>
      </w:r>
      <w:r>
        <w:rPr>
          <w:rFonts w:ascii="Times New Roman" w:hAnsi="Times New Roman" w:eastAsia="Times New Roman" w:cs="Times New Roman"/>
          <w:spacing w:val="-6"/>
        </w:rPr>
        <w:t>”</w:t>
      </w:r>
      <w:r>
        <w:rPr>
          <w:spacing w:val="-6"/>
        </w:rPr>
        <w:t>属于特称肯定判断，</w:t>
      </w:r>
      <w:r>
        <w:rPr>
          <w:rFonts w:ascii="Times New Roman" w:hAnsi="Times New Roman" w:eastAsia="Times New Roman" w:cs="Times New Roman"/>
          <w:spacing w:val="-6"/>
        </w:rPr>
        <w:t>“</w:t>
      </w:r>
      <w:r>
        <w:rPr>
          <w:spacing w:val="-6"/>
        </w:rPr>
        <w:t>一些机器不是中国绞车</w:t>
      </w:r>
      <w:r>
        <w:rPr>
          <w:rFonts w:ascii="Times New Roman" w:hAnsi="Times New Roman" w:eastAsia="Times New Roman" w:cs="Times New Roman"/>
          <w:spacing w:val="-6"/>
        </w:rPr>
        <w:t>”</w:t>
      </w:r>
      <w:r>
        <w:rPr>
          <w:spacing w:val="-6"/>
        </w:rPr>
        <w:t>属于特称否定判断，二者是下反对关</w:t>
      </w:r>
      <w:r>
        <w:rPr>
          <w:spacing w:val="-1"/>
        </w:rPr>
        <w:t>系，逻辑特征为不能同假、可以同真，正确。</w:t>
      </w:r>
    </w:p>
    <w:p w14:paraId="0408BF3B">
      <w:pPr>
        <w:pStyle w:val="2"/>
        <w:spacing w:before="218" w:line="316" w:lineRule="auto"/>
        <w:ind w:left="14" w:right="129" w:firstLine="12"/>
      </w:pPr>
      <w:r>
        <w:rPr>
          <w:rFonts w:ascii="Times New Roman" w:hAnsi="Times New Roman" w:eastAsia="Times New Roman" w:cs="Times New Roman"/>
          <w:spacing w:val="-3"/>
        </w:rPr>
        <w:t xml:space="preserve">16. </w:t>
      </w:r>
      <w:r>
        <w:rPr>
          <w:spacing w:val="-3"/>
        </w:rPr>
        <w:t>“长征</w:t>
      </w:r>
      <w:r>
        <w:rPr>
          <w:spacing w:val="-68"/>
        </w:rPr>
        <w:t xml:space="preserve"> </w:t>
      </w:r>
      <w:r>
        <w:rPr>
          <w:spacing w:val="-3"/>
        </w:rPr>
        <w:t>”系列运载火箭从</w:t>
      </w:r>
      <w:r>
        <w:rPr>
          <w:spacing w:val="-30"/>
        </w:rPr>
        <w:t xml:space="preserve"> </w:t>
      </w:r>
      <w:r>
        <w:rPr>
          <w:rFonts w:ascii="Times New Roman" w:hAnsi="Times New Roman" w:eastAsia="Times New Roman" w:cs="Times New Roman"/>
          <w:spacing w:val="-3"/>
        </w:rPr>
        <w:t xml:space="preserve">1970 </w:t>
      </w:r>
      <w:r>
        <w:rPr>
          <w:spacing w:val="-3"/>
        </w:rPr>
        <w:t>年第</w:t>
      </w:r>
      <w:r>
        <w:rPr>
          <w:spacing w:val="-29"/>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3"/>
        </w:rPr>
        <w:t xml:space="preserve"> </w:t>
      </w:r>
      <w:r>
        <w:rPr>
          <w:spacing w:val="-3"/>
        </w:rPr>
        <w:t>次发射到</w:t>
      </w:r>
      <w:r>
        <w:rPr>
          <w:spacing w:val="-49"/>
        </w:rPr>
        <w:t xml:space="preserve"> </w:t>
      </w:r>
      <w:r>
        <w:rPr>
          <w:rFonts w:ascii="Times New Roman" w:hAnsi="Times New Roman" w:eastAsia="Times New Roman" w:cs="Times New Roman"/>
          <w:spacing w:val="-3"/>
        </w:rPr>
        <w:t xml:space="preserve">2025 </w:t>
      </w:r>
      <w:r>
        <w:rPr>
          <w:spacing w:val="-3"/>
        </w:rPr>
        <w:t>年第</w:t>
      </w:r>
      <w:r>
        <w:rPr>
          <w:spacing w:val="-45"/>
        </w:rPr>
        <w:t xml:space="preserve"> </w:t>
      </w:r>
      <w:r>
        <w:rPr>
          <w:rFonts w:ascii="Times New Roman" w:hAnsi="Times New Roman" w:eastAsia="Times New Roman" w:cs="Times New Roman"/>
          <w:spacing w:val="-3"/>
        </w:rPr>
        <w:t>600</w:t>
      </w:r>
      <w:r>
        <w:rPr>
          <w:rFonts w:ascii="Times New Roman" w:hAnsi="Times New Roman" w:eastAsia="Times New Roman" w:cs="Times New Roman"/>
          <w:spacing w:val="13"/>
        </w:rPr>
        <w:t xml:space="preserve"> </w:t>
      </w:r>
      <w:r>
        <w:rPr>
          <w:spacing w:val="-3"/>
        </w:rPr>
        <w:t>次发射，体现了中国航天运输从跟跑、并</w:t>
      </w:r>
      <w:r>
        <w:rPr>
          <w:spacing w:val="-1"/>
        </w:rPr>
        <w:t>跑到在多领域领跑的跨越式发展。</w:t>
      </w:r>
    </w:p>
    <w:p w14:paraId="5F36C5B9">
      <w:pPr>
        <w:spacing w:line="337" w:lineRule="auto"/>
        <w:rPr>
          <w:rFonts w:ascii="Arial"/>
          <w:sz w:val="21"/>
        </w:rPr>
      </w:pPr>
    </w:p>
    <w:p w14:paraId="5E52EDE6">
      <w:pPr>
        <w:pStyle w:val="2"/>
        <w:spacing w:before="69"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0"/>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1039A976">
      <w:pPr>
        <w:spacing w:line="219" w:lineRule="auto"/>
        <w:sectPr>
          <w:pgSz w:w="11900" w:h="16839"/>
          <w:pgMar w:top="400" w:right="943" w:bottom="0" w:left="1078" w:header="0" w:footer="0" w:gutter="0"/>
          <w:cols w:space="720" w:num="1"/>
        </w:sectPr>
      </w:pPr>
    </w:p>
    <w:p w14:paraId="6B2A483D">
      <w:pPr>
        <w:spacing w:line="244" w:lineRule="auto"/>
        <w:rPr>
          <w:rFonts w:ascii="Arial"/>
          <w:sz w:val="21"/>
        </w:rPr>
      </w:pPr>
    </w:p>
    <w:p w14:paraId="743C4F7F">
      <w:pPr>
        <w:spacing w:line="245" w:lineRule="auto"/>
        <w:rPr>
          <w:rFonts w:ascii="Arial"/>
          <w:sz w:val="21"/>
        </w:rPr>
      </w:pPr>
    </w:p>
    <w:p w14:paraId="79E60D7E">
      <w:pPr>
        <w:spacing w:line="375" w:lineRule="exact"/>
        <w:ind w:firstLine="1440"/>
      </w:pPr>
    </w:p>
    <w:p w14:paraId="744A1DF1">
      <w:pPr>
        <w:pStyle w:val="2"/>
        <w:spacing w:before="183" w:line="219" w:lineRule="auto"/>
        <w:ind w:left="2676"/>
      </w:pPr>
      <w:r>
        <w:rPr>
          <w:spacing w:val="-3"/>
        </w:rPr>
        <w:t>“长征</w:t>
      </w:r>
      <w:r>
        <w:rPr>
          <w:spacing w:val="-69"/>
        </w:rPr>
        <w:t xml:space="preserve"> </w:t>
      </w:r>
      <w:r>
        <w:rPr>
          <w:spacing w:val="-3"/>
        </w:rPr>
        <w:t>”系列运载火箭每</w:t>
      </w:r>
      <w:r>
        <w:rPr>
          <w:spacing w:val="-28"/>
        </w:rPr>
        <w:t xml:space="preserve"> </w:t>
      </w:r>
      <w:r>
        <w:rPr>
          <w:spacing w:val="-3"/>
        </w:rPr>
        <w:t>100</w:t>
      </w:r>
      <w:r>
        <w:rPr>
          <w:spacing w:val="-39"/>
        </w:rPr>
        <w:t xml:space="preserve"> </w:t>
      </w:r>
      <w:r>
        <w:rPr>
          <w:spacing w:val="-3"/>
        </w:rPr>
        <w:t>次发射时间间隔统计</w:t>
      </w:r>
    </w:p>
    <w:p w14:paraId="016CBD03">
      <w:pPr>
        <w:spacing w:line="84" w:lineRule="exact"/>
      </w:pPr>
    </w:p>
    <w:tbl>
      <w:tblPr>
        <w:tblStyle w:val="6"/>
        <w:tblW w:w="94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95"/>
        <w:gridCol w:w="2741"/>
        <w:gridCol w:w="1333"/>
        <w:gridCol w:w="1482"/>
        <w:gridCol w:w="2344"/>
      </w:tblGrid>
      <w:tr w14:paraId="6E434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1595" w:type="dxa"/>
            <w:vAlign w:val="top"/>
          </w:tcPr>
          <w:p w14:paraId="3488E4C3">
            <w:pPr>
              <w:pStyle w:val="7"/>
              <w:spacing w:before="208" w:line="220" w:lineRule="auto"/>
              <w:ind w:left="379"/>
            </w:pPr>
            <w:r>
              <w:rPr>
                <w:spacing w:val="-3"/>
              </w:rPr>
              <w:t>发射区间</w:t>
            </w:r>
          </w:p>
        </w:tc>
        <w:tc>
          <w:tcPr>
            <w:tcW w:w="2741" w:type="dxa"/>
            <w:vAlign w:val="top"/>
          </w:tcPr>
          <w:p w14:paraId="208A1D8B">
            <w:pPr>
              <w:pStyle w:val="7"/>
              <w:spacing w:before="208" w:line="220" w:lineRule="auto"/>
              <w:ind w:left="952"/>
            </w:pPr>
            <w:r>
              <w:rPr>
                <w:spacing w:val="-3"/>
              </w:rPr>
              <w:t>起止时间</w:t>
            </w:r>
          </w:p>
        </w:tc>
        <w:tc>
          <w:tcPr>
            <w:tcW w:w="1333" w:type="dxa"/>
            <w:vAlign w:val="top"/>
          </w:tcPr>
          <w:p w14:paraId="01FA25D7">
            <w:pPr>
              <w:pStyle w:val="7"/>
              <w:spacing w:before="204" w:line="219" w:lineRule="auto"/>
              <w:ind w:left="118"/>
            </w:pPr>
            <w:r>
              <w:rPr>
                <w:spacing w:val="-2"/>
              </w:rPr>
              <w:t>所用时间</w:t>
            </w:r>
            <w:r>
              <w:rPr>
                <w:rFonts w:ascii="Times New Roman" w:hAnsi="Times New Roman" w:eastAsia="Times New Roman" w:cs="Times New Roman"/>
                <w:spacing w:val="-2"/>
              </w:rPr>
              <w:t>/</w:t>
            </w:r>
            <w:r>
              <w:rPr>
                <w:spacing w:val="-2"/>
              </w:rPr>
              <w:t>年</w:t>
            </w:r>
          </w:p>
        </w:tc>
        <w:tc>
          <w:tcPr>
            <w:tcW w:w="1482" w:type="dxa"/>
            <w:vAlign w:val="top"/>
          </w:tcPr>
          <w:p w14:paraId="4E2ED66C">
            <w:pPr>
              <w:pStyle w:val="7"/>
              <w:spacing w:before="209" w:line="219" w:lineRule="auto"/>
              <w:ind w:left="122"/>
            </w:pPr>
            <w:r>
              <w:rPr>
                <w:spacing w:val="-2"/>
              </w:rPr>
              <w:t>年均发射次数</w:t>
            </w:r>
          </w:p>
        </w:tc>
        <w:tc>
          <w:tcPr>
            <w:tcW w:w="2344" w:type="dxa"/>
            <w:vAlign w:val="top"/>
          </w:tcPr>
          <w:p w14:paraId="50B4AA42">
            <w:pPr>
              <w:pStyle w:val="7"/>
              <w:spacing w:before="209" w:line="219" w:lineRule="auto"/>
              <w:ind w:left="759"/>
            </w:pPr>
            <w:r>
              <w:rPr>
                <w:spacing w:val="-3"/>
              </w:rPr>
              <w:t>主要特点</w:t>
            </w:r>
          </w:p>
        </w:tc>
      </w:tr>
      <w:tr w14:paraId="65ECB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595" w:type="dxa"/>
            <w:vAlign w:val="top"/>
          </w:tcPr>
          <w:p w14:paraId="2995371A">
            <w:pPr>
              <w:pStyle w:val="7"/>
              <w:spacing w:before="202" w:line="219" w:lineRule="auto"/>
              <w:ind w:left="218"/>
            </w:pPr>
            <w:r>
              <w:rPr>
                <w:spacing w:val="-5"/>
              </w:rPr>
              <w:t>第</w:t>
            </w:r>
            <w:r>
              <w:rPr>
                <w:spacing w:val="-27"/>
              </w:rPr>
              <w:t xml:space="preserve"> </w:t>
            </w:r>
            <w:r>
              <w:rPr>
                <w:rFonts w:ascii="Times New Roman" w:hAnsi="Times New Roman" w:eastAsia="Times New Roman" w:cs="Times New Roman"/>
                <w:spacing w:val="-5"/>
              </w:rPr>
              <w:t>1</w:t>
            </w:r>
            <w:r>
              <w:rPr>
                <w:spacing w:val="-5"/>
              </w:rPr>
              <w:t>—</w:t>
            </w:r>
            <w:r>
              <w:rPr>
                <w:rFonts w:ascii="Times New Roman" w:hAnsi="Times New Roman" w:eastAsia="Times New Roman" w:cs="Times New Roman"/>
                <w:spacing w:val="-5"/>
              </w:rPr>
              <w:t>100</w:t>
            </w:r>
            <w:r>
              <w:rPr>
                <w:rFonts w:ascii="Times New Roman" w:hAnsi="Times New Roman" w:eastAsia="Times New Roman" w:cs="Times New Roman"/>
                <w:spacing w:val="11"/>
              </w:rPr>
              <w:t xml:space="preserve"> </w:t>
            </w:r>
            <w:r>
              <w:rPr>
                <w:spacing w:val="-5"/>
              </w:rPr>
              <w:t>发</w:t>
            </w:r>
          </w:p>
        </w:tc>
        <w:tc>
          <w:tcPr>
            <w:tcW w:w="2741" w:type="dxa"/>
            <w:vAlign w:val="top"/>
          </w:tcPr>
          <w:p w14:paraId="67762F4F">
            <w:pPr>
              <w:pStyle w:val="7"/>
              <w:spacing w:before="205"/>
              <w:ind w:left="126"/>
            </w:pPr>
            <w:r>
              <w:rPr>
                <w:spacing w:val="-1"/>
              </w:rPr>
              <w:t>1970-04-24</w:t>
            </w:r>
            <w:r>
              <w:rPr>
                <w:rFonts w:ascii="Times New Roman" w:hAnsi="Times New Roman" w:eastAsia="Times New Roman" w:cs="Times New Roman"/>
                <w:spacing w:val="-1"/>
              </w:rPr>
              <w:t>——</w:t>
            </w:r>
            <w:r>
              <w:rPr>
                <w:spacing w:val="-1"/>
              </w:rPr>
              <w:t>2007-06</w:t>
            </w:r>
            <w:r>
              <w:rPr>
                <w:spacing w:val="-2"/>
              </w:rPr>
              <w:t>-01</w:t>
            </w:r>
          </w:p>
        </w:tc>
        <w:tc>
          <w:tcPr>
            <w:tcW w:w="1333" w:type="dxa"/>
            <w:vAlign w:val="top"/>
          </w:tcPr>
          <w:p w14:paraId="3C4CBF84">
            <w:pPr>
              <w:pStyle w:val="7"/>
              <w:spacing w:before="206" w:line="239" w:lineRule="auto"/>
              <w:ind w:left="414"/>
            </w:pPr>
            <w:r>
              <w:rPr>
                <w:spacing w:val="-3"/>
              </w:rPr>
              <w:t>37.10</w:t>
            </w:r>
          </w:p>
        </w:tc>
        <w:tc>
          <w:tcPr>
            <w:tcW w:w="1482" w:type="dxa"/>
            <w:vAlign w:val="top"/>
          </w:tcPr>
          <w:p w14:paraId="153A41E2">
            <w:pPr>
              <w:pStyle w:val="7"/>
              <w:spacing w:before="202" w:line="219" w:lineRule="auto"/>
              <w:ind w:left="568"/>
            </w:pPr>
            <w:r>
              <w:rPr>
                <w:rFonts w:ascii="Times New Roman" w:hAnsi="Times New Roman" w:eastAsia="Times New Roman" w:cs="Times New Roman"/>
                <w:spacing w:val="-5"/>
              </w:rPr>
              <w:t>3</w:t>
            </w:r>
            <w:r>
              <w:rPr>
                <w:rFonts w:ascii="Times New Roman" w:hAnsi="Times New Roman" w:eastAsia="Times New Roman" w:cs="Times New Roman"/>
                <w:spacing w:val="14"/>
              </w:rPr>
              <w:t xml:space="preserve"> </w:t>
            </w:r>
            <w:r>
              <w:rPr>
                <w:spacing w:val="-5"/>
              </w:rPr>
              <w:t>次</w:t>
            </w:r>
          </w:p>
        </w:tc>
        <w:tc>
          <w:tcPr>
            <w:tcW w:w="2344" w:type="dxa"/>
            <w:vAlign w:val="top"/>
          </w:tcPr>
          <w:p w14:paraId="7F77EC1B">
            <w:pPr>
              <w:pStyle w:val="7"/>
              <w:spacing w:before="206" w:line="219" w:lineRule="auto"/>
              <w:ind w:left="128"/>
            </w:pPr>
            <w:r>
              <w:rPr>
                <w:spacing w:val="-1"/>
              </w:rPr>
              <w:t>技术积累期，从无到有</w:t>
            </w:r>
          </w:p>
        </w:tc>
      </w:tr>
      <w:tr w14:paraId="18EE1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595" w:type="dxa"/>
            <w:vAlign w:val="top"/>
          </w:tcPr>
          <w:p w14:paraId="40FAD7BA">
            <w:pPr>
              <w:pStyle w:val="7"/>
              <w:spacing w:before="207" w:line="219" w:lineRule="auto"/>
              <w:ind w:left="113"/>
            </w:pPr>
            <w:r>
              <w:rPr>
                <w:spacing w:val="-4"/>
              </w:rPr>
              <w:t>第</w:t>
            </w:r>
            <w:r>
              <w:rPr>
                <w:spacing w:val="-26"/>
              </w:rPr>
              <w:t xml:space="preserve"> </w:t>
            </w:r>
            <w:r>
              <w:rPr>
                <w:rFonts w:ascii="Times New Roman" w:hAnsi="Times New Roman" w:eastAsia="Times New Roman" w:cs="Times New Roman"/>
                <w:spacing w:val="-4"/>
              </w:rPr>
              <w:t>101</w:t>
            </w:r>
            <w:r>
              <w:rPr>
                <w:spacing w:val="-4"/>
              </w:rPr>
              <w:t>—</w:t>
            </w:r>
            <w:r>
              <w:rPr>
                <w:rFonts w:ascii="Times New Roman" w:hAnsi="Times New Roman" w:eastAsia="Times New Roman" w:cs="Times New Roman"/>
                <w:spacing w:val="-4"/>
              </w:rPr>
              <w:t>200</w:t>
            </w:r>
            <w:r>
              <w:rPr>
                <w:rFonts w:ascii="Times New Roman" w:hAnsi="Times New Roman" w:eastAsia="Times New Roman" w:cs="Times New Roman"/>
                <w:spacing w:val="11"/>
              </w:rPr>
              <w:t xml:space="preserve"> </w:t>
            </w:r>
            <w:r>
              <w:rPr>
                <w:spacing w:val="-4"/>
              </w:rPr>
              <w:t>发</w:t>
            </w:r>
          </w:p>
        </w:tc>
        <w:tc>
          <w:tcPr>
            <w:tcW w:w="2741" w:type="dxa"/>
            <w:vAlign w:val="top"/>
          </w:tcPr>
          <w:p w14:paraId="7D911FF7">
            <w:pPr>
              <w:pStyle w:val="7"/>
              <w:spacing w:before="210"/>
              <w:ind w:left="113"/>
            </w:pPr>
            <w:r>
              <w:rPr>
                <w:spacing w:val="-1"/>
              </w:rPr>
              <w:t>2007-07-05</w:t>
            </w:r>
            <w:r>
              <w:rPr>
                <w:rFonts w:ascii="Times New Roman" w:hAnsi="Times New Roman" w:eastAsia="Times New Roman" w:cs="Times New Roman"/>
                <w:spacing w:val="-1"/>
              </w:rPr>
              <w:t>——</w:t>
            </w:r>
            <w:r>
              <w:rPr>
                <w:spacing w:val="-1"/>
              </w:rPr>
              <w:t>2014-12-07</w:t>
            </w:r>
          </w:p>
        </w:tc>
        <w:tc>
          <w:tcPr>
            <w:tcW w:w="1333" w:type="dxa"/>
            <w:vAlign w:val="top"/>
          </w:tcPr>
          <w:p w14:paraId="0BDCE38E">
            <w:pPr>
              <w:pStyle w:val="7"/>
              <w:spacing w:before="211" w:line="239" w:lineRule="auto"/>
              <w:ind w:left="467"/>
            </w:pPr>
            <w:r>
              <w:rPr>
                <w:spacing w:val="-4"/>
              </w:rPr>
              <w:t>7.41</w:t>
            </w:r>
          </w:p>
        </w:tc>
        <w:tc>
          <w:tcPr>
            <w:tcW w:w="1482" w:type="dxa"/>
            <w:vAlign w:val="top"/>
          </w:tcPr>
          <w:p w14:paraId="118820AC">
            <w:pPr>
              <w:pStyle w:val="7"/>
              <w:spacing w:before="207" w:line="219" w:lineRule="auto"/>
              <w:ind w:left="531"/>
            </w:pPr>
            <w:r>
              <w:rPr>
                <w:rFonts w:ascii="Times New Roman" w:hAnsi="Times New Roman" w:eastAsia="Times New Roman" w:cs="Times New Roman"/>
                <w:spacing w:val="-9"/>
              </w:rPr>
              <w:t>14</w:t>
            </w:r>
            <w:r>
              <w:rPr>
                <w:rFonts w:ascii="Times New Roman" w:hAnsi="Times New Roman" w:eastAsia="Times New Roman" w:cs="Times New Roman"/>
                <w:spacing w:val="15"/>
              </w:rPr>
              <w:t xml:space="preserve"> </w:t>
            </w:r>
            <w:r>
              <w:rPr>
                <w:spacing w:val="-9"/>
              </w:rPr>
              <w:t>次</w:t>
            </w:r>
          </w:p>
        </w:tc>
        <w:tc>
          <w:tcPr>
            <w:tcW w:w="2344" w:type="dxa"/>
            <w:vAlign w:val="top"/>
          </w:tcPr>
          <w:p w14:paraId="57DAEBC9">
            <w:pPr>
              <w:pStyle w:val="7"/>
              <w:spacing w:before="211" w:line="219" w:lineRule="auto"/>
              <w:ind w:left="653"/>
            </w:pPr>
            <w:r>
              <w:rPr>
                <w:spacing w:val="-2"/>
              </w:rPr>
              <w:t>稳步发展期</w:t>
            </w:r>
          </w:p>
        </w:tc>
      </w:tr>
      <w:tr w14:paraId="7A1B1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595" w:type="dxa"/>
            <w:vAlign w:val="top"/>
          </w:tcPr>
          <w:p w14:paraId="47E12050">
            <w:pPr>
              <w:pStyle w:val="7"/>
              <w:spacing w:before="212" w:line="219" w:lineRule="auto"/>
              <w:ind w:left="113"/>
            </w:pPr>
            <w:r>
              <w:rPr>
                <w:spacing w:val="-2"/>
              </w:rPr>
              <w:t>第</w:t>
            </w:r>
            <w:r>
              <w:rPr>
                <w:spacing w:val="-44"/>
              </w:rPr>
              <w:t xml:space="preserve"> </w:t>
            </w:r>
            <w:r>
              <w:rPr>
                <w:rFonts w:ascii="Times New Roman" w:hAnsi="Times New Roman" w:eastAsia="Times New Roman" w:cs="Times New Roman"/>
                <w:spacing w:val="-2"/>
              </w:rPr>
              <w:t>201</w:t>
            </w:r>
            <w:r>
              <w:rPr>
                <w:spacing w:val="-2"/>
              </w:rPr>
              <w:t>—</w:t>
            </w:r>
            <w:r>
              <w:rPr>
                <w:rFonts w:ascii="Times New Roman" w:hAnsi="Times New Roman" w:eastAsia="Times New Roman" w:cs="Times New Roman"/>
                <w:spacing w:val="-2"/>
              </w:rPr>
              <w:t>300</w:t>
            </w:r>
            <w:r>
              <w:rPr>
                <w:rFonts w:ascii="Times New Roman" w:hAnsi="Times New Roman" w:eastAsia="Times New Roman" w:cs="Times New Roman"/>
                <w:spacing w:val="11"/>
              </w:rPr>
              <w:t xml:space="preserve"> </w:t>
            </w:r>
            <w:r>
              <w:rPr>
                <w:spacing w:val="-2"/>
              </w:rPr>
              <w:t>发</w:t>
            </w:r>
          </w:p>
        </w:tc>
        <w:tc>
          <w:tcPr>
            <w:tcW w:w="2741" w:type="dxa"/>
            <w:vAlign w:val="top"/>
          </w:tcPr>
          <w:p w14:paraId="2AF9646F">
            <w:pPr>
              <w:pStyle w:val="7"/>
              <w:spacing w:before="216"/>
              <w:ind w:left="113"/>
            </w:pPr>
            <w:r>
              <w:rPr>
                <w:spacing w:val="-1"/>
              </w:rPr>
              <w:t>2014-12-11</w:t>
            </w:r>
            <w:r>
              <w:rPr>
                <w:rFonts w:ascii="Times New Roman" w:hAnsi="Times New Roman" w:eastAsia="Times New Roman" w:cs="Times New Roman"/>
                <w:spacing w:val="-1"/>
              </w:rPr>
              <w:t>——</w:t>
            </w:r>
            <w:r>
              <w:rPr>
                <w:spacing w:val="-1"/>
              </w:rPr>
              <w:t>2019-03-10</w:t>
            </w:r>
          </w:p>
        </w:tc>
        <w:tc>
          <w:tcPr>
            <w:tcW w:w="1333" w:type="dxa"/>
            <w:vAlign w:val="top"/>
          </w:tcPr>
          <w:p w14:paraId="1778830C">
            <w:pPr>
              <w:pStyle w:val="7"/>
              <w:spacing w:before="216" w:line="239" w:lineRule="auto"/>
              <w:ind w:left="461"/>
            </w:pPr>
            <w:r>
              <w:rPr>
                <w:spacing w:val="-2"/>
              </w:rPr>
              <w:t>4.33</w:t>
            </w:r>
          </w:p>
        </w:tc>
        <w:tc>
          <w:tcPr>
            <w:tcW w:w="1482" w:type="dxa"/>
            <w:vAlign w:val="top"/>
          </w:tcPr>
          <w:p w14:paraId="23825EE5">
            <w:pPr>
              <w:pStyle w:val="7"/>
              <w:spacing w:before="212" w:line="219" w:lineRule="auto"/>
              <w:ind w:left="511"/>
            </w:pPr>
            <w:r>
              <w:rPr>
                <w:rFonts w:ascii="Times New Roman" w:hAnsi="Times New Roman" w:eastAsia="Times New Roman" w:cs="Times New Roman"/>
                <w:spacing w:val="-2"/>
              </w:rPr>
              <w:t>23</w:t>
            </w:r>
            <w:r>
              <w:rPr>
                <w:rFonts w:ascii="Times New Roman" w:hAnsi="Times New Roman" w:eastAsia="Times New Roman" w:cs="Times New Roman"/>
                <w:spacing w:val="14"/>
              </w:rPr>
              <w:t xml:space="preserve"> </w:t>
            </w:r>
            <w:r>
              <w:rPr>
                <w:spacing w:val="-2"/>
              </w:rPr>
              <w:t>次</w:t>
            </w:r>
          </w:p>
        </w:tc>
        <w:tc>
          <w:tcPr>
            <w:tcW w:w="2344" w:type="dxa"/>
            <w:vAlign w:val="top"/>
          </w:tcPr>
          <w:p w14:paraId="5ED5B360">
            <w:pPr>
              <w:pStyle w:val="7"/>
              <w:spacing w:before="216" w:line="220" w:lineRule="auto"/>
              <w:ind w:left="655"/>
            </w:pPr>
            <w:r>
              <w:rPr>
                <w:spacing w:val="-3"/>
              </w:rPr>
              <w:t>快速发展期</w:t>
            </w:r>
          </w:p>
        </w:tc>
      </w:tr>
      <w:tr w14:paraId="6B341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595" w:type="dxa"/>
            <w:vAlign w:val="top"/>
          </w:tcPr>
          <w:p w14:paraId="7A84CDF2">
            <w:pPr>
              <w:pStyle w:val="7"/>
              <w:spacing w:before="203" w:line="219" w:lineRule="auto"/>
              <w:ind w:left="113"/>
            </w:pPr>
            <w:r>
              <w:rPr>
                <w:spacing w:val="-2"/>
              </w:rPr>
              <w:t>第</w:t>
            </w:r>
            <w:r>
              <w:rPr>
                <w:spacing w:val="-44"/>
              </w:rPr>
              <w:t xml:space="preserve"> </w:t>
            </w:r>
            <w:r>
              <w:rPr>
                <w:rFonts w:ascii="Times New Roman" w:hAnsi="Times New Roman" w:eastAsia="Times New Roman" w:cs="Times New Roman"/>
                <w:spacing w:val="-2"/>
              </w:rPr>
              <w:t>301</w:t>
            </w:r>
            <w:r>
              <w:rPr>
                <w:spacing w:val="-2"/>
              </w:rPr>
              <w:t>—</w:t>
            </w:r>
            <w:r>
              <w:rPr>
                <w:rFonts w:ascii="Times New Roman" w:hAnsi="Times New Roman" w:eastAsia="Times New Roman" w:cs="Times New Roman"/>
                <w:spacing w:val="-2"/>
              </w:rPr>
              <w:t>400</w:t>
            </w:r>
            <w:r>
              <w:rPr>
                <w:rFonts w:ascii="Times New Roman" w:hAnsi="Times New Roman" w:eastAsia="Times New Roman" w:cs="Times New Roman"/>
                <w:spacing w:val="11"/>
              </w:rPr>
              <w:t xml:space="preserve"> </w:t>
            </w:r>
            <w:r>
              <w:rPr>
                <w:spacing w:val="-2"/>
              </w:rPr>
              <w:t>发</w:t>
            </w:r>
          </w:p>
        </w:tc>
        <w:tc>
          <w:tcPr>
            <w:tcW w:w="2741" w:type="dxa"/>
            <w:vAlign w:val="top"/>
          </w:tcPr>
          <w:p w14:paraId="7A1ABB13">
            <w:pPr>
              <w:pStyle w:val="7"/>
              <w:spacing w:before="207"/>
              <w:ind w:left="113"/>
            </w:pPr>
            <w:r>
              <w:rPr>
                <w:spacing w:val="-1"/>
              </w:rPr>
              <w:t>2019-03-31</w:t>
            </w:r>
            <w:r>
              <w:rPr>
                <w:rFonts w:ascii="Times New Roman" w:hAnsi="Times New Roman" w:eastAsia="Times New Roman" w:cs="Times New Roman"/>
                <w:spacing w:val="-1"/>
              </w:rPr>
              <w:t>——</w:t>
            </w:r>
            <w:r>
              <w:rPr>
                <w:spacing w:val="-1"/>
              </w:rPr>
              <w:t>2021-12-10</w:t>
            </w:r>
          </w:p>
        </w:tc>
        <w:tc>
          <w:tcPr>
            <w:tcW w:w="1333" w:type="dxa"/>
            <w:vAlign w:val="top"/>
          </w:tcPr>
          <w:p w14:paraId="091D3898">
            <w:pPr>
              <w:pStyle w:val="7"/>
              <w:spacing w:before="207" w:line="239" w:lineRule="auto"/>
              <w:ind w:left="464"/>
            </w:pPr>
            <w:r>
              <w:rPr>
                <w:spacing w:val="-3"/>
              </w:rPr>
              <w:t>2.75</w:t>
            </w:r>
          </w:p>
        </w:tc>
        <w:tc>
          <w:tcPr>
            <w:tcW w:w="1482" w:type="dxa"/>
            <w:vAlign w:val="top"/>
          </w:tcPr>
          <w:p w14:paraId="3A8BEB5B">
            <w:pPr>
              <w:pStyle w:val="7"/>
              <w:spacing w:before="203" w:line="219" w:lineRule="auto"/>
              <w:ind w:left="515"/>
            </w:pPr>
            <w:r>
              <w:rPr>
                <w:rFonts w:ascii="Times New Roman" w:hAnsi="Times New Roman" w:eastAsia="Times New Roman" w:cs="Times New Roman"/>
                <w:spacing w:val="-3"/>
              </w:rPr>
              <w:t>36</w:t>
            </w:r>
            <w:r>
              <w:rPr>
                <w:rFonts w:ascii="Times New Roman" w:hAnsi="Times New Roman" w:eastAsia="Times New Roman" w:cs="Times New Roman"/>
                <w:spacing w:val="13"/>
                <w:w w:val="101"/>
              </w:rPr>
              <w:t xml:space="preserve"> </w:t>
            </w:r>
            <w:r>
              <w:rPr>
                <w:spacing w:val="-3"/>
              </w:rPr>
              <w:t>次</w:t>
            </w:r>
          </w:p>
        </w:tc>
        <w:tc>
          <w:tcPr>
            <w:tcW w:w="2344" w:type="dxa"/>
            <w:vAlign w:val="top"/>
          </w:tcPr>
          <w:p w14:paraId="27E56414">
            <w:pPr>
              <w:pStyle w:val="7"/>
              <w:spacing w:before="208" w:line="219" w:lineRule="auto"/>
              <w:ind w:left="658"/>
            </w:pPr>
            <w:r>
              <w:rPr>
                <w:spacing w:val="-3"/>
              </w:rPr>
              <w:t>高速发展期</w:t>
            </w:r>
          </w:p>
        </w:tc>
      </w:tr>
      <w:tr w14:paraId="6B63E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595" w:type="dxa"/>
            <w:vAlign w:val="top"/>
          </w:tcPr>
          <w:p w14:paraId="7697ACA7">
            <w:pPr>
              <w:pStyle w:val="7"/>
              <w:spacing w:before="208" w:line="219" w:lineRule="auto"/>
              <w:ind w:left="113"/>
            </w:pPr>
            <w:r>
              <w:rPr>
                <w:spacing w:val="-2"/>
              </w:rPr>
              <w:t>第</w:t>
            </w:r>
            <w:r>
              <w:rPr>
                <w:spacing w:val="-44"/>
              </w:rPr>
              <w:t xml:space="preserve"> </w:t>
            </w:r>
            <w:r>
              <w:rPr>
                <w:rFonts w:ascii="Times New Roman" w:hAnsi="Times New Roman" w:eastAsia="Times New Roman" w:cs="Times New Roman"/>
                <w:spacing w:val="-2"/>
              </w:rPr>
              <w:t>401</w:t>
            </w:r>
            <w:r>
              <w:rPr>
                <w:spacing w:val="-2"/>
              </w:rPr>
              <w:t>—</w:t>
            </w:r>
            <w:r>
              <w:rPr>
                <w:rFonts w:ascii="Times New Roman" w:hAnsi="Times New Roman" w:eastAsia="Times New Roman" w:cs="Times New Roman"/>
                <w:spacing w:val="-2"/>
              </w:rPr>
              <w:t>500</w:t>
            </w:r>
            <w:r>
              <w:rPr>
                <w:rFonts w:ascii="Times New Roman" w:hAnsi="Times New Roman" w:eastAsia="Times New Roman" w:cs="Times New Roman"/>
                <w:spacing w:val="11"/>
              </w:rPr>
              <w:t xml:space="preserve"> </w:t>
            </w:r>
            <w:r>
              <w:rPr>
                <w:spacing w:val="-2"/>
              </w:rPr>
              <w:t>发</w:t>
            </w:r>
          </w:p>
        </w:tc>
        <w:tc>
          <w:tcPr>
            <w:tcW w:w="2741" w:type="dxa"/>
            <w:vAlign w:val="top"/>
          </w:tcPr>
          <w:p w14:paraId="445FE35D">
            <w:pPr>
              <w:pStyle w:val="7"/>
              <w:spacing w:before="212"/>
              <w:ind w:left="113"/>
            </w:pPr>
            <w:r>
              <w:rPr>
                <w:spacing w:val="-1"/>
              </w:rPr>
              <w:t>2021-12-14</w:t>
            </w:r>
            <w:r>
              <w:rPr>
                <w:rFonts w:ascii="Times New Roman" w:hAnsi="Times New Roman" w:eastAsia="Times New Roman" w:cs="Times New Roman"/>
                <w:spacing w:val="-1"/>
              </w:rPr>
              <w:t>——</w:t>
            </w:r>
            <w:r>
              <w:rPr>
                <w:spacing w:val="-1"/>
              </w:rPr>
              <w:t>2023-12-14</w:t>
            </w:r>
          </w:p>
        </w:tc>
        <w:tc>
          <w:tcPr>
            <w:tcW w:w="1333" w:type="dxa"/>
            <w:vAlign w:val="top"/>
          </w:tcPr>
          <w:p w14:paraId="60C7F4E6">
            <w:pPr>
              <w:pStyle w:val="7"/>
              <w:spacing w:before="212" w:line="239" w:lineRule="auto"/>
              <w:ind w:left="464"/>
            </w:pPr>
            <w:r>
              <w:rPr>
                <w:spacing w:val="-3"/>
              </w:rPr>
              <w:t>2.00</w:t>
            </w:r>
          </w:p>
        </w:tc>
        <w:tc>
          <w:tcPr>
            <w:tcW w:w="1482" w:type="dxa"/>
            <w:vAlign w:val="top"/>
          </w:tcPr>
          <w:p w14:paraId="3CF9BFBD">
            <w:pPr>
              <w:pStyle w:val="7"/>
              <w:spacing w:before="208" w:line="219" w:lineRule="auto"/>
              <w:ind w:left="517"/>
            </w:pPr>
            <w:r>
              <w:rPr>
                <w:rFonts w:ascii="Times New Roman" w:hAnsi="Times New Roman" w:eastAsia="Times New Roman" w:cs="Times New Roman"/>
                <w:spacing w:val="-4"/>
              </w:rPr>
              <w:t>50</w:t>
            </w:r>
            <w:r>
              <w:rPr>
                <w:rFonts w:ascii="Times New Roman" w:hAnsi="Times New Roman" w:eastAsia="Times New Roman" w:cs="Times New Roman"/>
                <w:spacing w:val="14"/>
                <w:w w:val="101"/>
              </w:rPr>
              <w:t xml:space="preserve"> </w:t>
            </w:r>
            <w:r>
              <w:rPr>
                <w:spacing w:val="-4"/>
              </w:rPr>
              <w:t>次</w:t>
            </w:r>
          </w:p>
        </w:tc>
        <w:tc>
          <w:tcPr>
            <w:tcW w:w="2344" w:type="dxa"/>
            <w:vAlign w:val="top"/>
          </w:tcPr>
          <w:p w14:paraId="5F7DA180">
            <w:pPr>
              <w:pStyle w:val="7"/>
              <w:spacing w:before="213" w:line="219" w:lineRule="auto"/>
              <w:ind w:left="553"/>
            </w:pPr>
            <w:r>
              <w:rPr>
                <w:spacing w:val="-3"/>
              </w:rPr>
              <w:t>高密度发射期</w:t>
            </w:r>
          </w:p>
        </w:tc>
      </w:tr>
      <w:tr w14:paraId="48782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1595" w:type="dxa"/>
            <w:vAlign w:val="top"/>
          </w:tcPr>
          <w:p w14:paraId="3B8C7383">
            <w:pPr>
              <w:pStyle w:val="7"/>
              <w:spacing w:before="213" w:line="219" w:lineRule="auto"/>
              <w:ind w:left="113"/>
            </w:pPr>
            <w:r>
              <w:rPr>
                <w:spacing w:val="-3"/>
              </w:rPr>
              <w:t>第</w:t>
            </w:r>
            <w:r>
              <w:rPr>
                <w:spacing w:val="-35"/>
              </w:rPr>
              <w:t xml:space="preserve"> </w:t>
            </w:r>
            <w:r>
              <w:rPr>
                <w:rFonts w:ascii="Times New Roman" w:hAnsi="Times New Roman" w:eastAsia="Times New Roman" w:cs="Times New Roman"/>
                <w:spacing w:val="-3"/>
              </w:rPr>
              <w:t>501</w:t>
            </w:r>
            <w:r>
              <w:rPr>
                <w:spacing w:val="-3"/>
              </w:rPr>
              <w:t>—</w:t>
            </w:r>
            <w:r>
              <w:rPr>
                <w:rFonts w:ascii="Times New Roman" w:hAnsi="Times New Roman" w:eastAsia="Times New Roman" w:cs="Times New Roman"/>
                <w:spacing w:val="-3"/>
              </w:rPr>
              <w:t>600</w:t>
            </w:r>
            <w:r>
              <w:rPr>
                <w:rFonts w:ascii="Times New Roman" w:hAnsi="Times New Roman" w:eastAsia="Times New Roman" w:cs="Times New Roman"/>
                <w:spacing w:val="11"/>
              </w:rPr>
              <w:t xml:space="preserve"> </w:t>
            </w:r>
            <w:r>
              <w:rPr>
                <w:spacing w:val="-3"/>
              </w:rPr>
              <w:t>发</w:t>
            </w:r>
          </w:p>
        </w:tc>
        <w:tc>
          <w:tcPr>
            <w:tcW w:w="2741" w:type="dxa"/>
            <w:vAlign w:val="top"/>
          </w:tcPr>
          <w:p w14:paraId="19337394">
            <w:pPr>
              <w:pStyle w:val="7"/>
              <w:spacing w:before="216"/>
              <w:ind w:left="113"/>
            </w:pPr>
            <w:r>
              <w:rPr>
                <w:spacing w:val="-1"/>
              </w:rPr>
              <w:t>2023-12-15</w:t>
            </w:r>
            <w:r>
              <w:rPr>
                <w:rFonts w:ascii="Times New Roman" w:hAnsi="Times New Roman" w:eastAsia="Times New Roman" w:cs="Times New Roman"/>
                <w:spacing w:val="-1"/>
              </w:rPr>
              <w:t>——</w:t>
            </w:r>
            <w:r>
              <w:rPr>
                <w:spacing w:val="-1"/>
              </w:rPr>
              <w:t>2025-10-16</w:t>
            </w:r>
          </w:p>
        </w:tc>
        <w:tc>
          <w:tcPr>
            <w:tcW w:w="1333" w:type="dxa"/>
            <w:vAlign w:val="top"/>
          </w:tcPr>
          <w:p w14:paraId="6D49ED82">
            <w:pPr>
              <w:pStyle w:val="7"/>
              <w:spacing w:before="217" w:line="239" w:lineRule="auto"/>
              <w:ind w:left="477"/>
            </w:pPr>
            <w:r>
              <w:rPr>
                <w:spacing w:val="-6"/>
              </w:rPr>
              <w:t>1.83</w:t>
            </w:r>
          </w:p>
        </w:tc>
        <w:tc>
          <w:tcPr>
            <w:tcW w:w="1482" w:type="dxa"/>
            <w:vAlign w:val="top"/>
          </w:tcPr>
          <w:p w14:paraId="44CFBAA6">
            <w:pPr>
              <w:pStyle w:val="7"/>
              <w:spacing w:before="213" w:line="219" w:lineRule="auto"/>
              <w:ind w:left="517"/>
            </w:pPr>
            <w:r>
              <w:rPr>
                <w:rFonts w:ascii="Times New Roman" w:hAnsi="Times New Roman" w:eastAsia="Times New Roman" w:cs="Times New Roman"/>
                <w:spacing w:val="-4"/>
              </w:rPr>
              <w:t>55</w:t>
            </w:r>
            <w:r>
              <w:rPr>
                <w:rFonts w:ascii="Times New Roman" w:hAnsi="Times New Roman" w:eastAsia="Times New Roman" w:cs="Times New Roman"/>
                <w:spacing w:val="14"/>
                <w:w w:val="101"/>
              </w:rPr>
              <w:t xml:space="preserve"> </w:t>
            </w:r>
            <w:r>
              <w:rPr>
                <w:spacing w:val="-4"/>
              </w:rPr>
              <w:t>次</w:t>
            </w:r>
          </w:p>
        </w:tc>
        <w:tc>
          <w:tcPr>
            <w:tcW w:w="2344" w:type="dxa"/>
            <w:vAlign w:val="top"/>
          </w:tcPr>
          <w:p w14:paraId="1911502D">
            <w:pPr>
              <w:pStyle w:val="7"/>
              <w:spacing w:before="217" w:line="219" w:lineRule="auto"/>
              <w:ind w:left="441"/>
            </w:pPr>
            <w:r>
              <w:rPr>
                <w:spacing w:val="-2"/>
              </w:rPr>
              <w:t>超高密度发射期</w:t>
            </w:r>
          </w:p>
        </w:tc>
      </w:tr>
    </w:tbl>
    <w:p w14:paraId="47DAEC0F">
      <w:pPr>
        <w:pStyle w:val="2"/>
        <w:spacing w:before="139" w:line="219" w:lineRule="auto"/>
        <w:ind w:left="129"/>
      </w:pPr>
      <w:r>
        <w:rPr>
          <w:spacing w:val="-4"/>
        </w:rPr>
        <w:t>依据如上信息可推断 (</w:t>
      </w:r>
      <w:r>
        <w:rPr>
          <w:spacing w:val="22"/>
        </w:rPr>
        <w:t xml:space="preserve">   </w:t>
      </w:r>
      <w:r>
        <w:rPr>
          <w:spacing w:val="-4"/>
        </w:rPr>
        <w:t>)</w:t>
      </w:r>
    </w:p>
    <w:p w14:paraId="24892A45">
      <w:pPr>
        <w:pStyle w:val="2"/>
        <w:spacing w:before="219" w:line="217" w:lineRule="auto"/>
        <w:ind w:left="127"/>
      </w:pPr>
      <w:r>
        <w:rPr>
          <w:spacing w:val="-1"/>
        </w:rPr>
        <w:t>①由“有些火箭不是‘长征</w:t>
      </w:r>
      <w:r>
        <w:rPr>
          <w:spacing w:val="-58"/>
        </w:rPr>
        <w:t xml:space="preserve"> </w:t>
      </w:r>
      <w:r>
        <w:rPr>
          <w:spacing w:val="-1"/>
        </w:rPr>
        <w:t>’系列的</w:t>
      </w:r>
      <w:r>
        <w:rPr>
          <w:spacing w:val="-78"/>
        </w:rPr>
        <w:t xml:space="preserve"> </w:t>
      </w:r>
      <w:r>
        <w:rPr>
          <w:spacing w:val="-1"/>
        </w:rPr>
        <w:t>”可得“有些非‘长征</w:t>
      </w:r>
      <w:r>
        <w:rPr>
          <w:spacing w:val="-76"/>
        </w:rPr>
        <w:t xml:space="preserve"> </w:t>
      </w:r>
      <w:r>
        <w:rPr>
          <w:spacing w:val="-1"/>
        </w:rPr>
        <w:t>’系列的是非火箭</w:t>
      </w:r>
      <w:r>
        <w:rPr>
          <w:spacing w:val="-77"/>
        </w:rPr>
        <w:t xml:space="preserve"> </w:t>
      </w:r>
      <w:r>
        <w:rPr>
          <w:spacing w:val="-1"/>
        </w:rPr>
        <w:t>”</w:t>
      </w:r>
    </w:p>
    <w:p w14:paraId="7B4DBC15">
      <w:pPr>
        <w:pStyle w:val="2"/>
        <w:spacing w:before="221" w:line="217" w:lineRule="auto"/>
        <w:ind w:left="126"/>
      </w:pPr>
      <w:r>
        <w:rPr>
          <w:spacing w:val="-1"/>
        </w:rPr>
        <w:t>②第</w:t>
      </w:r>
      <w:r>
        <w:rPr>
          <w:spacing w:val="-43"/>
        </w:rPr>
        <w:t xml:space="preserve"> </w:t>
      </w:r>
      <w:r>
        <w:rPr>
          <w:rFonts w:ascii="Times New Roman" w:hAnsi="Times New Roman" w:eastAsia="Times New Roman" w:cs="Times New Roman"/>
          <w:spacing w:val="-1"/>
        </w:rPr>
        <w:t xml:space="preserve">601 </w:t>
      </w:r>
      <w:r>
        <w:rPr>
          <w:spacing w:val="-1"/>
        </w:rPr>
        <w:t>发“长征</w:t>
      </w:r>
      <w:r>
        <w:rPr>
          <w:spacing w:val="-77"/>
        </w:rPr>
        <w:t xml:space="preserve"> </w:t>
      </w:r>
      <w:r>
        <w:rPr>
          <w:spacing w:val="-1"/>
        </w:rPr>
        <w:t>”运载火箭发射不处于高密度发射期并且第</w:t>
      </w:r>
      <w:r>
        <w:rPr>
          <w:spacing w:val="-44"/>
        </w:rPr>
        <w:t xml:space="preserve"> </w:t>
      </w:r>
      <w:r>
        <w:rPr>
          <w:rFonts w:ascii="Times New Roman" w:hAnsi="Times New Roman" w:eastAsia="Times New Roman" w:cs="Times New Roman"/>
          <w:spacing w:val="-1"/>
        </w:rPr>
        <w:t xml:space="preserve">601—700 </w:t>
      </w:r>
      <w:r>
        <w:rPr>
          <w:spacing w:val="-1"/>
        </w:rPr>
        <w:t>发所用时间不多于</w:t>
      </w:r>
      <w:r>
        <w:rPr>
          <w:spacing w:val="-44"/>
        </w:rPr>
        <w:t xml:space="preserve"> </w:t>
      </w:r>
      <w:r>
        <w:rPr>
          <w:rFonts w:ascii="Times New Roman" w:hAnsi="Times New Roman" w:eastAsia="Times New Roman" w:cs="Times New Roman"/>
          <w:spacing w:val="-1"/>
        </w:rPr>
        <w:t>7.41</w:t>
      </w:r>
      <w:r>
        <w:rPr>
          <w:rFonts w:ascii="Times New Roman" w:hAnsi="Times New Roman" w:eastAsia="Times New Roman" w:cs="Times New Roman"/>
          <w:spacing w:val="-2"/>
        </w:rPr>
        <w:t xml:space="preserve"> </w:t>
      </w:r>
      <w:r>
        <w:rPr>
          <w:spacing w:val="-2"/>
        </w:rPr>
        <w:t>年</w:t>
      </w:r>
    </w:p>
    <w:p w14:paraId="2CD75E76">
      <w:pPr>
        <w:pStyle w:val="2"/>
        <w:spacing w:before="221" w:line="217" w:lineRule="auto"/>
        <w:ind w:left="126"/>
      </w:pPr>
      <w:r>
        <w:rPr>
          <w:spacing w:val="-6"/>
        </w:rPr>
        <w:t>③</w:t>
      </w:r>
      <w:r>
        <w:rPr>
          <w:rFonts w:ascii="Times New Roman" w:hAnsi="Times New Roman" w:eastAsia="Times New Roman" w:cs="Times New Roman"/>
          <w:spacing w:val="-6"/>
        </w:rPr>
        <w:t xml:space="preserve">2022 </w:t>
      </w:r>
      <w:r>
        <w:rPr>
          <w:spacing w:val="-6"/>
        </w:rPr>
        <w:t>年，“长征</w:t>
      </w:r>
      <w:r>
        <w:rPr>
          <w:spacing w:val="-76"/>
        </w:rPr>
        <w:t xml:space="preserve"> </w:t>
      </w:r>
      <w:r>
        <w:rPr>
          <w:spacing w:val="-6"/>
        </w:rPr>
        <w:t>”运载火箭发射次数大于</w:t>
      </w:r>
      <w:r>
        <w:rPr>
          <w:spacing w:val="-45"/>
        </w:rPr>
        <w:t xml:space="preserve"> </w:t>
      </w:r>
      <w:r>
        <w:rPr>
          <w:rFonts w:ascii="Times New Roman" w:hAnsi="Times New Roman" w:eastAsia="Times New Roman" w:cs="Times New Roman"/>
          <w:spacing w:val="-6"/>
        </w:rPr>
        <w:t>99</w:t>
      </w:r>
      <w:r>
        <w:rPr>
          <w:rFonts w:ascii="Times New Roman" w:hAnsi="Times New Roman" w:eastAsia="Times New Roman" w:cs="Times New Roman"/>
          <w:spacing w:val="14"/>
          <w:w w:val="101"/>
        </w:rPr>
        <w:t xml:space="preserve"> </w:t>
      </w:r>
      <w:r>
        <w:rPr>
          <w:spacing w:val="-6"/>
        </w:rPr>
        <w:t>次</w:t>
      </w:r>
    </w:p>
    <w:p w14:paraId="4FBA384D">
      <w:pPr>
        <w:pStyle w:val="2"/>
        <w:spacing w:before="222" w:line="315" w:lineRule="auto"/>
        <w:ind w:left="126" w:right="180"/>
      </w:pPr>
      <w:r>
        <w:rPr>
          <w:spacing w:val="-1"/>
        </w:rPr>
        <w:t>④如果某国火箭发射在所用时间、主要特点上与中国相似，那么该国或者使用了“长征</w:t>
      </w:r>
      <w:r>
        <w:rPr>
          <w:spacing w:val="-67"/>
        </w:rPr>
        <w:t xml:space="preserve"> </w:t>
      </w:r>
      <w:r>
        <w:rPr>
          <w:spacing w:val="-1"/>
        </w:rPr>
        <w:t>”运载火箭，或者在某一时期内年均发射次数也在持续增长</w:t>
      </w:r>
    </w:p>
    <w:p w14:paraId="240DD364">
      <w:pPr>
        <w:pStyle w:val="2"/>
        <w:spacing w:before="220" w:line="411" w:lineRule="auto"/>
        <w:ind w:left="118"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23EFADBE">
      <w:pPr>
        <w:pStyle w:val="2"/>
        <w:spacing w:line="220" w:lineRule="auto"/>
        <w:ind w:left="118"/>
      </w:pPr>
      <w:r>
        <w:rPr>
          <w:color w:val="2E75B6"/>
        </w:rPr>
        <w:t>【解析】</w:t>
      </w:r>
    </w:p>
    <w:p w14:paraId="20BD47A5">
      <w:pPr>
        <w:pStyle w:val="2"/>
        <w:spacing w:before="214" w:line="411" w:lineRule="auto"/>
        <w:ind w:left="132" w:right="111" w:hanging="14"/>
      </w:pPr>
      <w:r>
        <w:rPr>
          <w:spacing w:val="-1"/>
        </w:rPr>
        <w:t>【详解】①：</w:t>
      </w:r>
      <w:r>
        <w:rPr>
          <w:rFonts w:ascii="Times New Roman" w:hAnsi="Times New Roman" w:eastAsia="Times New Roman" w:cs="Times New Roman"/>
          <w:spacing w:val="-1"/>
        </w:rPr>
        <w:t>“</w:t>
      </w:r>
      <w:r>
        <w:rPr>
          <w:spacing w:val="-1"/>
        </w:rPr>
        <w:t>有些火箭不是</w:t>
      </w:r>
      <w:r>
        <w:rPr>
          <w:rFonts w:ascii="Times New Roman" w:hAnsi="Times New Roman" w:eastAsia="Times New Roman" w:cs="Times New Roman"/>
          <w:spacing w:val="-1"/>
        </w:rPr>
        <w:t>‘</w:t>
      </w:r>
      <w:r>
        <w:rPr>
          <w:spacing w:val="-1"/>
        </w:rPr>
        <w:t>长征</w:t>
      </w:r>
      <w:r>
        <w:rPr>
          <w:rFonts w:ascii="Times New Roman" w:hAnsi="Times New Roman" w:eastAsia="Times New Roman" w:cs="Times New Roman"/>
          <w:spacing w:val="-1"/>
        </w:rPr>
        <w:t>’</w:t>
      </w:r>
      <w:r>
        <w:rPr>
          <w:spacing w:val="-1"/>
        </w:rPr>
        <w:t>系列的</w:t>
      </w:r>
      <w:r>
        <w:rPr>
          <w:rFonts w:ascii="Times New Roman" w:hAnsi="Times New Roman" w:eastAsia="Times New Roman" w:cs="Times New Roman"/>
          <w:spacing w:val="-1"/>
        </w:rPr>
        <w:t>”</w:t>
      </w:r>
      <w:r>
        <w:rPr>
          <w:spacing w:val="-1"/>
        </w:rPr>
        <w:t>属于特称否定判断，不能</w:t>
      </w:r>
      <w:r>
        <w:rPr>
          <w:spacing w:val="-2"/>
        </w:rPr>
        <w:t>进行换位推理，无法推出</w:t>
      </w:r>
      <w:r>
        <w:rPr>
          <w:rFonts w:ascii="Times New Roman" w:hAnsi="Times New Roman" w:eastAsia="Times New Roman" w:cs="Times New Roman"/>
          <w:spacing w:val="-2"/>
        </w:rPr>
        <w:t>“</w:t>
      </w:r>
      <w:r>
        <w:rPr>
          <w:spacing w:val="-2"/>
        </w:rPr>
        <w:t>有些非</w:t>
      </w:r>
      <w:r>
        <w:rPr>
          <w:rFonts w:ascii="Times New Roman" w:hAnsi="Times New Roman" w:eastAsia="Times New Roman" w:cs="Times New Roman"/>
          <w:spacing w:val="-2"/>
        </w:rPr>
        <w:t>‘</w:t>
      </w:r>
      <w:r>
        <w:rPr>
          <w:spacing w:val="-2"/>
        </w:rPr>
        <w:t>长征</w:t>
      </w:r>
      <w:r>
        <w:rPr>
          <w:rFonts w:ascii="Times New Roman" w:hAnsi="Times New Roman" w:eastAsia="Times New Roman" w:cs="Times New Roman"/>
          <w:spacing w:val="-2"/>
        </w:rPr>
        <w:t>’</w:t>
      </w:r>
      <w:r>
        <w:rPr>
          <w:spacing w:val="-4"/>
        </w:rPr>
        <w:t>系列的是非火箭</w:t>
      </w:r>
      <w:r>
        <w:rPr>
          <w:rFonts w:ascii="Times New Roman" w:hAnsi="Times New Roman" w:eastAsia="Times New Roman" w:cs="Times New Roman"/>
          <w:spacing w:val="-4"/>
        </w:rPr>
        <w:t>”</w:t>
      </w:r>
      <w:r>
        <w:rPr>
          <w:rFonts w:ascii="Times New Roman" w:hAnsi="Times New Roman" w:eastAsia="Times New Roman" w:cs="Times New Roman"/>
          <w:spacing w:val="-19"/>
        </w:rPr>
        <w:t xml:space="preserve"> </w:t>
      </w:r>
      <w:r>
        <w:rPr>
          <w:spacing w:val="-4"/>
        </w:rPr>
        <w:t>，错误。</w:t>
      </w:r>
    </w:p>
    <w:p w14:paraId="4E556A34">
      <w:pPr>
        <w:pStyle w:val="2"/>
        <w:spacing w:line="315" w:lineRule="auto"/>
        <w:ind w:left="127" w:right="229" w:hanging="1"/>
      </w:pPr>
      <w:r>
        <w:rPr>
          <w:spacing w:val="-2"/>
        </w:rPr>
        <w:t>②</w:t>
      </w:r>
      <w:r>
        <w:rPr>
          <w:spacing w:val="-75"/>
        </w:rPr>
        <w:t xml:space="preserve"> </w:t>
      </w:r>
      <w:r>
        <w:rPr>
          <w:spacing w:val="-2"/>
        </w:rPr>
        <w:t>：高密度发射期为</w:t>
      </w:r>
      <w:r>
        <w:rPr>
          <w:spacing w:val="-49"/>
        </w:rPr>
        <w:t xml:space="preserve"> </w:t>
      </w:r>
      <w:r>
        <w:rPr>
          <w:rFonts w:ascii="Times New Roman" w:hAnsi="Times New Roman" w:eastAsia="Times New Roman" w:cs="Times New Roman"/>
          <w:spacing w:val="-2"/>
        </w:rPr>
        <w:t xml:space="preserve">401—500 </w:t>
      </w:r>
      <w:r>
        <w:rPr>
          <w:spacing w:val="-2"/>
        </w:rPr>
        <w:t>发，超高密度发射期为</w:t>
      </w:r>
      <w:r>
        <w:rPr>
          <w:spacing w:val="-42"/>
        </w:rPr>
        <w:t xml:space="preserve"> </w:t>
      </w:r>
      <w:r>
        <w:rPr>
          <w:rFonts w:ascii="Times New Roman" w:hAnsi="Times New Roman" w:eastAsia="Times New Roman" w:cs="Times New Roman"/>
          <w:spacing w:val="-2"/>
        </w:rPr>
        <w:t xml:space="preserve">501—600 </w:t>
      </w:r>
      <w:r>
        <w:rPr>
          <w:spacing w:val="-2"/>
        </w:rPr>
        <w:t>发，因此第</w:t>
      </w:r>
      <w:r>
        <w:rPr>
          <w:spacing w:val="-44"/>
        </w:rPr>
        <w:t xml:space="preserve"> </w:t>
      </w:r>
      <w:r>
        <w:rPr>
          <w:rFonts w:ascii="Times New Roman" w:hAnsi="Times New Roman" w:eastAsia="Times New Roman" w:cs="Times New Roman"/>
          <w:spacing w:val="-2"/>
        </w:rPr>
        <w:t xml:space="preserve">601 </w:t>
      </w:r>
      <w:r>
        <w:rPr>
          <w:spacing w:val="-2"/>
        </w:rPr>
        <w:t>发不属于高密度发射期；</w:t>
      </w:r>
      <w:r>
        <w:rPr>
          <w:spacing w:val="-1"/>
        </w:rPr>
        <w:t>观察百次发射用时，整体逐年缩短，</w:t>
      </w:r>
      <w:r>
        <w:rPr>
          <w:rFonts w:ascii="Times New Roman" w:hAnsi="Times New Roman" w:eastAsia="Times New Roman" w:cs="Times New Roman"/>
          <w:spacing w:val="-1"/>
        </w:rPr>
        <w:t xml:space="preserve">601—700 </w:t>
      </w:r>
      <w:r>
        <w:rPr>
          <w:spacing w:val="-1"/>
        </w:rPr>
        <w:t>发用时大概率小于</w:t>
      </w:r>
      <w:r>
        <w:rPr>
          <w:spacing w:val="-18"/>
        </w:rPr>
        <w:t xml:space="preserve"> </w:t>
      </w:r>
      <w:r>
        <w:rPr>
          <w:rFonts w:ascii="Times New Roman" w:hAnsi="Times New Roman" w:eastAsia="Times New Roman" w:cs="Times New Roman"/>
          <w:spacing w:val="-1"/>
        </w:rPr>
        <w:t xml:space="preserve">1.83 </w:t>
      </w:r>
      <w:r>
        <w:rPr>
          <w:spacing w:val="-1"/>
        </w:rPr>
        <w:t>年，不多于</w:t>
      </w:r>
      <w:r>
        <w:rPr>
          <w:spacing w:val="-45"/>
        </w:rPr>
        <w:t xml:space="preserve"> </w:t>
      </w:r>
      <w:r>
        <w:rPr>
          <w:rFonts w:ascii="Times New Roman" w:hAnsi="Times New Roman" w:eastAsia="Times New Roman" w:cs="Times New Roman"/>
          <w:spacing w:val="-1"/>
        </w:rPr>
        <w:t xml:space="preserve">7.41 </w:t>
      </w:r>
      <w:r>
        <w:rPr>
          <w:spacing w:val="-1"/>
        </w:rPr>
        <w:t>年，正确。</w:t>
      </w:r>
    </w:p>
    <w:p w14:paraId="31E2C607">
      <w:pPr>
        <w:pStyle w:val="2"/>
        <w:spacing w:before="220" w:line="315" w:lineRule="auto"/>
        <w:ind w:left="129" w:hanging="3"/>
      </w:pPr>
      <w:r>
        <w:rPr>
          <w:spacing w:val="-2"/>
        </w:rPr>
        <w:t>③</w:t>
      </w:r>
      <w:r>
        <w:rPr>
          <w:spacing w:val="-79"/>
        </w:rPr>
        <w:t xml:space="preserve"> </w:t>
      </w:r>
      <w:r>
        <w:rPr>
          <w:spacing w:val="-2"/>
        </w:rPr>
        <w:t>：</w:t>
      </w:r>
      <w:r>
        <w:rPr>
          <w:rFonts w:ascii="Times New Roman" w:hAnsi="Times New Roman" w:eastAsia="Times New Roman" w:cs="Times New Roman"/>
          <w:spacing w:val="-2"/>
        </w:rPr>
        <w:t xml:space="preserve">401—500 </w:t>
      </w:r>
      <w:r>
        <w:rPr>
          <w:spacing w:val="-2"/>
        </w:rPr>
        <w:t>发区间年均发射</w:t>
      </w:r>
      <w:r>
        <w:rPr>
          <w:spacing w:val="-42"/>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3"/>
          <w:w w:val="101"/>
        </w:rPr>
        <w:t xml:space="preserve"> </w:t>
      </w:r>
      <w:r>
        <w:rPr>
          <w:spacing w:val="-2"/>
        </w:rPr>
        <w:t>次，可以知晓</w:t>
      </w:r>
      <w:r>
        <w:rPr>
          <w:spacing w:val="-48"/>
        </w:rPr>
        <w:t xml:space="preserve"> </w:t>
      </w:r>
      <w:r>
        <w:rPr>
          <w:rFonts w:ascii="Times New Roman" w:hAnsi="Times New Roman" w:eastAsia="Times New Roman" w:cs="Times New Roman"/>
          <w:spacing w:val="-2"/>
        </w:rPr>
        <w:t>2021</w:t>
      </w:r>
      <w:r>
        <w:rPr>
          <w:rFonts w:ascii="Times New Roman" w:hAnsi="Times New Roman" w:eastAsia="Times New Roman" w:cs="Times New Roman"/>
          <w:spacing w:val="-3"/>
        </w:rPr>
        <w:t>-12-14——2023-12-14</w:t>
      </w:r>
      <w:r>
        <w:rPr>
          <w:rFonts w:ascii="Times New Roman" w:hAnsi="Times New Roman" w:eastAsia="Times New Roman" w:cs="Times New Roman"/>
          <w:spacing w:val="25"/>
          <w:w w:val="101"/>
        </w:rPr>
        <w:t xml:space="preserve"> </w:t>
      </w:r>
      <w:r>
        <w:rPr>
          <w:spacing w:val="-3"/>
        </w:rPr>
        <w:t>的两年时间发射次数大于</w:t>
      </w:r>
      <w:r>
        <w:rPr>
          <w:spacing w:val="-44"/>
        </w:rPr>
        <w:t xml:space="preserve"> </w:t>
      </w:r>
      <w:r>
        <w:rPr>
          <w:rFonts w:ascii="Times New Roman" w:hAnsi="Times New Roman" w:eastAsia="Times New Roman" w:cs="Times New Roman"/>
          <w:spacing w:val="-3"/>
        </w:rPr>
        <w:t>99</w:t>
      </w:r>
      <w:r>
        <w:rPr>
          <w:rFonts w:ascii="Times New Roman" w:hAnsi="Times New Roman" w:eastAsia="Times New Roman" w:cs="Times New Roman"/>
          <w:spacing w:val="13"/>
          <w:w w:val="101"/>
        </w:rPr>
        <w:t xml:space="preserve"> </w:t>
      </w:r>
      <w:r>
        <w:rPr>
          <w:spacing w:val="-3"/>
        </w:rPr>
        <w:t>次，</w:t>
      </w:r>
      <w:r>
        <w:rPr>
          <w:spacing w:val="-2"/>
        </w:rPr>
        <w:t>无法推断</w:t>
      </w:r>
      <w:r>
        <w:rPr>
          <w:spacing w:val="-30"/>
        </w:rPr>
        <w:t xml:space="preserve"> </w:t>
      </w:r>
      <w:r>
        <w:rPr>
          <w:rFonts w:ascii="Times New Roman" w:hAnsi="Times New Roman" w:eastAsia="Times New Roman" w:cs="Times New Roman"/>
          <w:spacing w:val="-2"/>
        </w:rPr>
        <w:t xml:space="preserve">2022 </w:t>
      </w:r>
      <w:r>
        <w:rPr>
          <w:spacing w:val="-2"/>
        </w:rPr>
        <w:t>年这一年全年发射次数大于</w:t>
      </w:r>
      <w:r>
        <w:rPr>
          <w:spacing w:val="-44"/>
        </w:rPr>
        <w:t xml:space="preserve"> </w:t>
      </w:r>
      <w:r>
        <w:rPr>
          <w:rFonts w:ascii="Times New Roman" w:hAnsi="Times New Roman" w:eastAsia="Times New Roman" w:cs="Times New Roman"/>
          <w:spacing w:val="-2"/>
        </w:rPr>
        <w:t>99</w:t>
      </w:r>
      <w:r>
        <w:rPr>
          <w:rFonts w:ascii="Times New Roman" w:hAnsi="Times New Roman" w:eastAsia="Times New Roman" w:cs="Times New Roman"/>
          <w:spacing w:val="14"/>
        </w:rPr>
        <w:t xml:space="preserve"> </w:t>
      </w:r>
      <w:r>
        <w:rPr>
          <w:spacing w:val="-2"/>
        </w:rPr>
        <w:t>次，错误。</w:t>
      </w:r>
    </w:p>
    <w:p w14:paraId="6042C618">
      <w:pPr>
        <w:pStyle w:val="2"/>
        <w:spacing w:before="219" w:line="317" w:lineRule="auto"/>
        <w:ind w:left="129" w:right="180" w:hanging="3"/>
      </w:pPr>
      <w:r>
        <w:rPr>
          <w:spacing w:val="-1"/>
        </w:rPr>
        <w:t>④</w:t>
      </w:r>
      <w:r>
        <w:rPr>
          <w:spacing w:val="-67"/>
        </w:rPr>
        <w:t xml:space="preserve"> </w:t>
      </w:r>
      <w:r>
        <w:rPr>
          <w:spacing w:val="-1"/>
        </w:rPr>
        <w:t>：中国长征火箭呈现百次发射间隔缩短、年均发射次数持续增长的特征，若他国发射用时、发展特点与</w:t>
      </w:r>
      <w:r>
        <w:t>我国相似，则该国要么使用长征火箭，要么年均发</w:t>
      </w:r>
      <w:r>
        <w:rPr>
          <w:spacing w:val="-1"/>
        </w:rPr>
        <w:t>射次数持续增长，正确。</w:t>
      </w:r>
    </w:p>
    <w:p w14:paraId="6A6DEC9D">
      <w:pPr>
        <w:pStyle w:val="2"/>
        <w:spacing w:before="204" w:line="219" w:lineRule="auto"/>
        <w:ind w:left="133"/>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050D908D">
      <w:pPr>
        <w:pStyle w:val="2"/>
        <w:spacing w:before="198" w:line="219" w:lineRule="auto"/>
        <w:ind w:left="144"/>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629DAF65">
      <w:pPr>
        <w:spacing w:line="261" w:lineRule="auto"/>
        <w:rPr>
          <w:rFonts w:ascii="Arial"/>
          <w:sz w:val="21"/>
        </w:rPr>
      </w:pPr>
    </w:p>
    <w:p w14:paraId="2262308F">
      <w:pPr>
        <w:pStyle w:val="2"/>
        <w:spacing w:before="69" w:line="219" w:lineRule="auto"/>
        <w:ind w:left="4236"/>
      </w:pPr>
      <w:r>
        <w:drawing>
          <wp:anchor distT="0" distB="0" distL="0" distR="0" simplePos="0" relativeHeight="251670528"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010559C6">
      <w:pPr>
        <w:spacing w:line="219" w:lineRule="auto"/>
        <w:sectPr>
          <w:pgSz w:w="11900" w:h="16839"/>
          <w:pgMar w:top="400" w:right="978" w:bottom="0" w:left="960" w:header="0" w:footer="0" w:gutter="0"/>
          <w:cols w:space="720" w:num="1"/>
        </w:sectPr>
      </w:pPr>
    </w:p>
    <w:p w14:paraId="1A365447">
      <w:pPr>
        <w:spacing w:line="244" w:lineRule="auto"/>
        <w:rPr>
          <w:rFonts w:ascii="Arial"/>
          <w:sz w:val="21"/>
        </w:rPr>
      </w:pPr>
    </w:p>
    <w:p w14:paraId="47B0B9EF">
      <w:pPr>
        <w:spacing w:line="245" w:lineRule="auto"/>
        <w:rPr>
          <w:rFonts w:ascii="Arial"/>
          <w:sz w:val="21"/>
        </w:rPr>
      </w:pPr>
    </w:p>
    <w:p w14:paraId="2EF09A36">
      <w:pPr>
        <w:spacing w:line="375" w:lineRule="exact"/>
        <w:ind w:firstLine="1321"/>
      </w:pPr>
    </w:p>
    <w:p w14:paraId="2CBABB84">
      <w:pPr>
        <w:spacing w:before="184" w:line="392" w:lineRule="auto"/>
        <w:ind w:left="6" w:right="93" w:firstLine="415"/>
        <w:jc w:val="both"/>
        <w:rPr>
          <w:rFonts w:ascii="楷体" w:hAnsi="楷体" w:eastAsia="楷体" w:cs="楷体"/>
          <w:sz w:val="21"/>
          <w:szCs w:val="21"/>
        </w:rPr>
      </w:pPr>
      <w:r>
        <w:rPr>
          <w:rFonts w:ascii="楷体" w:hAnsi="楷体" w:eastAsia="楷体" w:cs="楷体"/>
          <w:sz w:val="21"/>
          <w:szCs w:val="21"/>
        </w:rPr>
        <w:t>服务业的兴旺发达是现代经济的显著特征。从世界范围看，西方发达国家服务业增加值一般占国内生</w:t>
      </w:r>
      <w:r>
        <w:rPr>
          <w:rFonts w:ascii="楷体" w:hAnsi="楷体" w:eastAsia="楷体" w:cs="楷体"/>
          <w:spacing w:val="-6"/>
          <w:sz w:val="21"/>
          <w:szCs w:val="21"/>
        </w:rPr>
        <w:t>产总值（</w:t>
      </w:r>
      <w:r>
        <w:rPr>
          <w:rFonts w:ascii="Times New Roman" w:hAnsi="Times New Roman" w:eastAsia="Times New Roman" w:cs="Times New Roman"/>
          <w:spacing w:val="-6"/>
          <w:sz w:val="21"/>
          <w:szCs w:val="21"/>
        </w:rPr>
        <w:t>GDP</w:t>
      </w:r>
      <w:r>
        <w:rPr>
          <w:rFonts w:ascii="楷体" w:hAnsi="楷体" w:eastAsia="楷体" w:cs="楷体"/>
          <w:spacing w:val="-6"/>
          <w:sz w:val="21"/>
          <w:szCs w:val="21"/>
        </w:rPr>
        <w:t>）总量的</w:t>
      </w:r>
      <w:r>
        <w:rPr>
          <w:rFonts w:ascii="楷体" w:hAnsi="楷体" w:eastAsia="楷体" w:cs="楷体"/>
          <w:spacing w:val="-47"/>
          <w:sz w:val="21"/>
          <w:szCs w:val="21"/>
        </w:rPr>
        <w:t xml:space="preserve"> </w:t>
      </w:r>
      <w:r>
        <w:rPr>
          <w:rFonts w:ascii="Times New Roman" w:hAnsi="Times New Roman" w:eastAsia="Times New Roman" w:cs="Times New Roman"/>
          <w:spacing w:val="-6"/>
          <w:sz w:val="21"/>
          <w:szCs w:val="21"/>
        </w:rPr>
        <w:t>70%</w:t>
      </w:r>
      <w:r>
        <w:rPr>
          <w:rFonts w:ascii="楷体" w:hAnsi="楷体" w:eastAsia="楷体" w:cs="楷体"/>
          <w:spacing w:val="-6"/>
          <w:sz w:val="21"/>
          <w:szCs w:val="21"/>
        </w:rPr>
        <w:t>以上。</w:t>
      </w:r>
      <w:r>
        <w:rPr>
          <w:rFonts w:ascii="Times New Roman" w:hAnsi="Times New Roman" w:eastAsia="Times New Roman" w:cs="Times New Roman"/>
          <w:spacing w:val="-6"/>
          <w:sz w:val="21"/>
          <w:szCs w:val="21"/>
        </w:rPr>
        <w:t xml:space="preserve">2024 </w:t>
      </w:r>
      <w:r>
        <w:rPr>
          <w:rFonts w:ascii="楷体" w:hAnsi="楷体" w:eastAsia="楷体" w:cs="楷体"/>
          <w:spacing w:val="-6"/>
          <w:sz w:val="21"/>
          <w:szCs w:val="21"/>
        </w:rPr>
        <w:t>年，我国服务业（第三产业）增加值占</w:t>
      </w:r>
      <w:r>
        <w:rPr>
          <w:rFonts w:ascii="楷体" w:hAnsi="楷体" w:eastAsia="楷体" w:cs="楷体"/>
          <w:spacing w:val="-56"/>
          <w:sz w:val="21"/>
          <w:szCs w:val="21"/>
        </w:rPr>
        <w:t xml:space="preserve"> </w:t>
      </w:r>
      <w:r>
        <w:rPr>
          <w:rFonts w:ascii="Times New Roman" w:hAnsi="Times New Roman" w:eastAsia="Times New Roman" w:cs="Times New Roman"/>
          <w:spacing w:val="-6"/>
          <w:sz w:val="21"/>
          <w:szCs w:val="21"/>
        </w:rPr>
        <w:t>GDP</w:t>
      </w:r>
      <w:r>
        <w:rPr>
          <w:rFonts w:ascii="Times New Roman" w:hAnsi="Times New Roman" w:eastAsia="Times New Roman" w:cs="Times New Roman"/>
          <w:spacing w:val="17"/>
          <w:w w:val="101"/>
          <w:sz w:val="21"/>
          <w:szCs w:val="21"/>
        </w:rPr>
        <w:t xml:space="preserve"> </w:t>
      </w:r>
      <w:r>
        <w:rPr>
          <w:rFonts w:ascii="楷体" w:hAnsi="楷体" w:eastAsia="楷体" w:cs="楷体"/>
          <w:spacing w:val="-6"/>
          <w:sz w:val="21"/>
          <w:szCs w:val="21"/>
        </w:rPr>
        <w:t>比重为</w:t>
      </w:r>
      <w:r>
        <w:rPr>
          <w:rFonts w:ascii="楷体" w:hAnsi="楷体" w:eastAsia="楷体" w:cs="楷体"/>
          <w:spacing w:val="-53"/>
          <w:sz w:val="21"/>
          <w:szCs w:val="21"/>
        </w:rPr>
        <w:t xml:space="preserve"> </w:t>
      </w:r>
      <w:r>
        <w:rPr>
          <w:rFonts w:ascii="Times New Roman" w:hAnsi="Times New Roman" w:eastAsia="Times New Roman" w:cs="Times New Roman"/>
          <w:spacing w:val="-6"/>
          <w:sz w:val="21"/>
          <w:szCs w:val="21"/>
        </w:rPr>
        <w:t>56.8%</w:t>
      </w:r>
      <w:r>
        <w:rPr>
          <w:rFonts w:ascii="楷体" w:hAnsi="楷体" w:eastAsia="楷体" w:cs="楷体"/>
          <w:spacing w:val="-6"/>
          <w:sz w:val="21"/>
          <w:szCs w:val="21"/>
        </w:rPr>
        <w:t>。</w:t>
      </w:r>
      <w:r>
        <w:rPr>
          <w:rFonts w:ascii="Times New Roman" w:hAnsi="Times New Roman" w:eastAsia="Times New Roman" w:cs="Times New Roman"/>
          <w:spacing w:val="-6"/>
          <w:sz w:val="21"/>
          <w:szCs w:val="21"/>
        </w:rPr>
        <w:t>2014-2024</w:t>
      </w:r>
      <w:r>
        <w:rPr>
          <w:rFonts w:ascii="楷体" w:hAnsi="楷体" w:eastAsia="楷体" w:cs="楷体"/>
          <w:spacing w:val="-2"/>
          <w:sz w:val="21"/>
          <w:szCs w:val="21"/>
        </w:rPr>
        <w:t>年，我国服务业对</w:t>
      </w:r>
      <w:r>
        <w:rPr>
          <w:rFonts w:ascii="楷体" w:hAnsi="楷体" w:eastAsia="楷体" w:cs="楷体"/>
          <w:spacing w:val="-30"/>
          <w:sz w:val="21"/>
          <w:szCs w:val="21"/>
        </w:rPr>
        <w:t xml:space="preserve"> </w:t>
      </w:r>
      <w:r>
        <w:rPr>
          <w:rFonts w:ascii="Times New Roman" w:hAnsi="Times New Roman" w:eastAsia="Times New Roman" w:cs="Times New Roman"/>
          <w:spacing w:val="-2"/>
          <w:sz w:val="21"/>
          <w:szCs w:val="21"/>
        </w:rPr>
        <w:t>GDP</w:t>
      </w:r>
      <w:r>
        <w:rPr>
          <w:rFonts w:ascii="Times New Roman" w:hAnsi="Times New Roman" w:eastAsia="Times New Roman" w:cs="Times New Roman"/>
          <w:spacing w:val="21"/>
          <w:w w:val="101"/>
          <w:sz w:val="21"/>
          <w:szCs w:val="21"/>
        </w:rPr>
        <w:t xml:space="preserve"> </w:t>
      </w:r>
      <w:r>
        <w:rPr>
          <w:rFonts w:ascii="楷体" w:hAnsi="楷体" w:eastAsia="楷体" w:cs="楷体"/>
          <w:spacing w:val="-2"/>
          <w:sz w:val="21"/>
          <w:szCs w:val="21"/>
        </w:rPr>
        <w:t>的贡献率和拉动情况如图所示。</w:t>
      </w:r>
    </w:p>
    <w:p w14:paraId="1EB5719A">
      <w:pPr>
        <w:spacing w:line="3915" w:lineRule="exact"/>
        <w:ind w:firstLine="1"/>
      </w:pPr>
      <w:r>
        <w:rPr>
          <w:position w:val="-78"/>
        </w:rPr>
        <w:drawing>
          <wp:inline distT="0" distB="0" distL="0" distR="0">
            <wp:extent cx="4038600" cy="248602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
                    <a:stretch>
                      <a:fillRect/>
                    </a:stretch>
                  </pic:blipFill>
                  <pic:spPr>
                    <a:xfrm>
                      <a:off x="0" y="0"/>
                      <a:ext cx="4038600" cy="2486025"/>
                    </a:xfrm>
                    <a:prstGeom prst="rect">
                      <a:avLst/>
                    </a:prstGeom>
                  </pic:spPr>
                </pic:pic>
              </a:graphicData>
            </a:graphic>
          </wp:inline>
        </w:drawing>
      </w:r>
    </w:p>
    <w:p w14:paraId="2EC03437">
      <w:pPr>
        <w:pStyle w:val="2"/>
        <w:spacing w:before="205" w:line="219" w:lineRule="auto"/>
        <w:ind w:left="9"/>
      </w:pPr>
      <w:r>
        <w:t>运用经济与社会知识，解读材料蕴含的关键经济信息，并为服务业扩</w:t>
      </w:r>
      <w:r>
        <w:rPr>
          <w:spacing w:val="-1"/>
        </w:rPr>
        <w:t>能提质提出政策建议。</w:t>
      </w:r>
    </w:p>
    <w:p w14:paraId="2685685E">
      <w:pPr>
        <w:pStyle w:val="2"/>
        <w:spacing w:before="219" w:line="219" w:lineRule="auto"/>
      </w:pPr>
      <w:r>
        <w:rPr>
          <w:color w:val="2E75B6"/>
        </w:rPr>
        <w:t>【答案】</w:t>
      </w:r>
      <w:r>
        <w:t>经济信息：</w:t>
      </w:r>
    </w:p>
    <w:p w14:paraId="6C11B860">
      <w:pPr>
        <w:pStyle w:val="2"/>
        <w:spacing w:before="219" w:line="347" w:lineRule="auto"/>
        <w:ind w:left="10" w:right="93" w:hanging="1"/>
      </w:pPr>
      <w:r>
        <w:rPr>
          <w:spacing w:val="-1"/>
        </w:rPr>
        <w:t>①2014</w:t>
      </w:r>
      <w:r>
        <w:rPr>
          <w:spacing w:val="-38"/>
        </w:rPr>
        <w:t xml:space="preserve"> </w:t>
      </w:r>
      <w:r>
        <w:rPr>
          <w:spacing w:val="-1"/>
        </w:rPr>
        <w:t>年以来，我国服务业对经济增长的贡献率稳居首位，但受疫情影响，2020</w:t>
      </w:r>
      <w:r>
        <w:rPr>
          <w:spacing w:val="-45"/>
        </w:rPr>
        <w:t xml:space="preserve"> </w:t>
      </w:r>
      <w:r>
        <w:rPr>
          <w:spacing w:val="-1"/>
        </w:rPr>
        <w:t>年拉动力明显降低，但综</w:t>
      </w:r>
      <w:r>
        <w:t>合来看，已成为国民经济增长的主动力和稳定器，第二产行业的贡献率次之，对</w:t>
      </w:r>
      <w:r>
        <w:rPr>
          <w:spacing w:val="-1"/>
        </w:rPr>
        <w:t>经济发展的拉动作用也是</w:t>
      </w:r>
      <w:r>
        <w:t>居于第二位，也受疫情的影响较大，第一产业贡献率相对较</w:t>
      </w:r>
      <w:r>
        <w:rPr>
          <w:spacing w:val="-1"/>
        </w:rPr>
        <w:t>低，拉动作用相对较小。</w:t>
      </w:r>
    </w:p>
    <w:p w14:paraId="4D689C05">
      <w:pPr>
        <w:pStyle w:val="2"/>
        <w:spacing w:before="219" w:line="316" w:lineRule="auto"/>
        <w:ind w:left="11" w:right="179" w:hanging="3"/>
      </w:pPr>
      <w:r>
        <w:rPr>
          <w:spacing w:val="-1"/>
        </w:rPr>
        <w:t>②我国服务业增加值占</w:t>
      </w:r>
      <w:r>
        <w:rPr>
          <w:spacing w:val="-45"/>
        </w:rPr>
        <w:t xml:space="preserve"> </w:t>
      </w:r>
      <w:r>
        <w:rPr>
          <w:spacing w:val="-1"/>
        </w:rPr>
        <w:t>GDP</w:t>
      </w:r>
      <w:r>
        <w:rPr>
          <w:spacing w:val="-21"/>
        </w:rPr>
        <w:t xml:space="preserve"> </w:t>
      </w:r>
      <w:r>
        <w:rPr>
          <w:spacing w:val="-1"/>
        </w:rPr>
        <w:t>比重虽逐年上升，但与发达国家相比仍有较大差距，产业结构仍需进一步优化</w:t>
      </w:r>
      <w:r>
        <w:rPr>
          <w:spacing w:val="-4"/>
        </w:rPr>
        <w:t>升级。</w:t>
      </w:r>
    </w:p>
    <w:p w14:paraId="514EA893">
      <w:pPr>
        <w:pStyle w:val="2"/>
        <w:spacing w:before="217" w:line="220" w:lineRule="auto"/>
        <w:ind w:left="9"/>
      </w:pPr>
      <w:r>
        <w:rPr>
          <w:spacing w:val="-2"/>
        </w:rPr>
        <w:t>政策建议：</w:t>
      </w:r>
    </w:p>
    <w:p w14:paraId="31A8DB8E">
      <w:pPr>
        <w:pStyle w:val="2"/>
        <w:spacing w:before="219" w:line="315" w:lineRule="auto"/>
        <w:ind w:left="18" w:right="179" w:hanging="9"/>
      </w:pPr>
      <w:r>
        <w:t>①贯彻新发展理念，推动服务业高质量发展。坚持创新驱动发展战略，利用数字技术</w:t>
      </w:r>
      <w:r>
        <w:rPr>
          <w:spacing w:val="-1"/>
        </w:rPr>
        <w:t>赋能传统服务业，培育新业态新模式，提升服务业核心竞争力。</w:t>
      </w:r>
    </w:p>
    <w:p w14:paraId="14D1BE38">
      <w:pPr>
        <w:pStyle w:val="2"/>
        <w:spacing w:before="218" w:line="315" w:lineRule="auto"/>
        <w:ind w:left="9" w:right="179" w:hanging="1"/>
      </w:pPr>
      <w:r>
        <w:t>②深化供给侧结构性改革，优化服务业结构。推动现代服务业同先进制造业、现代农业</w:t>
      </w:r>
      <w:r>
        <w:rPr>
          <w:spacing w:val="-1"/>
        </w:rPr>
        <w:t>深度融合，提高生产性服务业专业化水平，扩大生活性服务业高品质供给。</w:t>
      </w:r>
    </w:p>
    <w:p w14:paraId="5887DE3F">
      <w:pPr>
        <w:pStyle w:val="2"/>
        <w:spacing w:before="220" w:line="315" w:lineRule="auto"/>
        <w:ind w:left="8" w:right="179"/>
      </w:pPr>
      <w:r>
        <w:t>③完善市场经济体制，激发市场主体活力。放宽服务业市场准入，破除体制机制障碍，</w:t>
      </w:r>
      <w:r>
        <w:rPr>
          <w:spacing w:val="-1"/>
        </w:rPr>
        <w:t>营造公平竞争的市场环境，吸引更多社会资本进入服务业领域。</w:t>
      </w:r>
    </w:p>
    <w:p w14:paraId="1A007F7D">
      <w:pPr>
        <w:pStyle w:val="2"/>
        <w:spacing w:before="219" w:line="220" w:lineRule="auto"/>
      </w:pPr>
      <w:r>
        <w:rPr>
          <w:color w:val="2E75B6"/>
        </w:rPr>
        <w:t>【解析】</w:t>
      </w:r>
    </w:p>
    <w:p w14:paraId="06C85681">
      <w:pPr>
        <w:pStyle w:val="2"/>
        <w:spacing w:before="218" w:line="412" w:lineRule="auto"/>
        <w:ind w:left="8" w:hanging="9"/>
        <w:jc w:val="both"/>
      </w:pPr>
      <w:r>
        <w:t>【详解】本题为图表分析类与措施类相结合的主观题，通过对比图表数据与文字材料中的国内外标准，定</w:t>
      </w:r>
      <w:r>
        <w:rPr>
          <w:spacing w:val="-1"/>
        </w:rPr>
        <w:t>位我国服务业“贡献大但占比低</w:t>
      </w:r>
      <w:r>
        <w:rPr>
          <w:spacing w:val="-77"/>
        </w:rPr>
        <w:t xml:space="preserve"> </w:t>
      </w:r>
      <w:r>
        <w:rPr>
          <w:spacing w:val="-1"/>
        </w:rPr>
        <w:t>”的结构性矛盾，进而从创</w:t>
      </w:r>
      <w:r>
        <w:rPr>
          <w:spacing w:val="-2"/>
        </w:rPr>
        <w:t>新、融合、体制等维度提出针对性的解决措施。</w:t>
      </w:r>
      <w:r>
        <w:t>有效信息①：2014-2024</w:t>
      </w:r>
      <w:r>
        <w:rPr>
          <w:spacing w:val="-44"/>
        </w:rPr>
        <w:t xml:space="preserve"> </w:t>
      </w:r>
      <w:r>
        <w:t>年曲线图显示</w:t>
      </w:r>
      <w:r>
        <w:rPr>
          <w:spacing w:val="-1"/>
        </w:rPr>
        <w:t>，第三产业贡献率（虚线）总体保持在</w:t>
      </w:r>
      <w:r>
        <w:rPr>
          <w:spacing w:val="-40"/>
        </w:rPr>
        <w:t xml:space="preserve"> </w:t>
      </w:r>
      <w:r>
        <w:rPr>
          <w:spacing w:val="-1"/>
        </w:rPr>
        <w:t>50%以上，且显著高于第一、</w:t>
      </w:r>
    </w:p>
    <w:p w14:paraId="7CEA5125">
      <w:pPr>
        <w:pStyle w:val="2"/>
        <w:spacing w:before="32"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43180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6108FAFA">
      <w:pPr>
        <w:spacing w:line="219" w:lineRule="auto"/>
        <w:sectPr>
          <w:pgSz w:w="11900" w:h="16839"/>
          <w:pgMar w:top="400" w:right="979" w:bottom="0" w:left="1078" w:header="0" w:footer="0" w:gutter="0"/>
          <w:cols w:space="720" w:num="1"/>
        </w:sectPr>
      </w:pPr>
    </w:p>
    <w:p w14:paraId="504C77E6">
      <w:pPr>
        <w:spacing w:line="244" w:lineRule="auto"/>
        <w:rPr>
          <w:rFonts w:ascii="Arial"/>
          <w:sz w:val="21"/>
        </w:rPr>
      </w:pPr>
    </w:p>
    <w:p w14:paraId="643D18DC">
      <w:pPr>
        <w:spacing w:line="245" w:lineRule="auto"/>
        <w:rPr>
          <w:rFonts w:ascii="Arial"/>
          <w:sz w:val="21"/>
        </w:rPr>
      </w:pPr>
    </w:p>
    <w:p w14:paraId="3605033D">
      <w:pPr>
        <w:spacing w:line="375" w:lineRule="exact"/>
        <w:ind w:firstLine="1321"/>
      </w:pPr>
    </w:p>
    <w:p w14:paraId="06B46058">
      <w:pPr>
        <w:pStyle w:val="2"/>
        <w:spacing w:before="184" w:line="411" w:lineRule="auto"/>
        <w:ind w:left="10" w:right="77" w:firstLine="2"/>
        <w:jc w:val="both"/>
      </w:pPr>
      <w:r>
        <w:rPr>
          <w:spacing w:val="-1"/>
        </w:rPr>
        <w:t>二产业；但在</w:t>
      </w:r>
      <w:r>
        <w:rPr>
          <w:spacing w:val="-44"/>
        </w:rPr>
        <w:t xml:space="preserve"> </w:t>
      </w:r>
      <w:r>
        <w:rPr>
          <w:spacing w:val="-1"/>
        </w:rPr>
        <w:t>2020</w:t>
      </w:r>
      <w:r>
        <w:rPr>
          <w:spacing w:val="-45"/>
        </w:rPr>
        <w:t xml:space="preserve"> </w:t>
      </w:r>
      <w:r>
        <w:rPr>
          <w:spacing w:val="-1"/>
        </w:rPr>
        <w:t>年出现明显下滑，随后</w:t>
      </w:r>
      <w:r>
        <w:rPr>
          <w:spacing w:val="-2"/>
        </w:rPr>
        <w:t>回升→从看到“贡献率最高</w:t>
      </w:r>
      <w:r>
        <w:rPr>
          <w:spacing w:val="-77"/>
        </w:rPr>
        <w:t xml:space="preserve"> </w:t>
      </w:r>
      <w:r>
        <w:rPr>
          <w:spacing w:val="-2"/>
        </w:rPr>
        <w:t>”联想到“服务业已成为经济增长的稳定器</w:t>
      </w:r>
      <w:r>
        <w:rPr>
          <w:spacing w:val="-77"/>
        </w:rPr>
        <w:t xml:space="preserve"> </w:t>
      </w:r>
      <w:r>
        <w:rPr>
          <w:spacing w:val="-2"/>
        </w:rPr>
        <w:t>”；看到“2020</w:t>
      </w:r>
      <w:r>
        <w:rPr>
          <w:spacing w:val="-44"/>
        </w:rPr>
        <w:t xml:space="preserve"> </w:t>
      </w:r>
      <w:r>
        <w:rPr>
          <w:spacing w:val="-2"/>
        </w:rPr>
        <w:t>年波动</w:t>
      </w:r>
      <w:r>
        <w:rPr>
          <w:spacing w:val="-77"/>
        </w:rPr>
        <w:t xml:space="preserve"> </w:t>
      </w:r>
      <w:r>
        <w:rPr>
          <w:spacing w:val="-2"/>
        </w:rPr>
        <w:t>”联想到“受疫情等外部冲击影响大，抗风险能力需增强</w:t>
      </w:r>
      <w:r>
        <w:rPr>
          <w:spacing w:val="-77"/>
        </w:rPr>
        <w:t xml:space="preserve"> </w:t>
      </w:r>
      <w:r>
        <w:rPr>
          <w:spacing w:val="-2"/>
        </w:rPr>
        <w:t>”</w:t>
      </w:r>
      <w:r>
        <w:rPr>
          <w:spacing w:val="-3"/>
        </w:rPr>
        <w:t>。这说明服务业</w:t>
      </w:r>
      <w:r>
        <w:rPr>
          <w:spacing w:val="-1"/>
        </w:rPr>
        <w:t>是国民经济的第一大产业和增长主引擎，但发展稳定性有待提升。</w:t>
      </w:r>
    </w:p>
    <w:p w14:paraId="19893A24">
      <w:pPr>
        <w:pStyle w:val="2"/>
        <w:spacing w:before="1" w:line="411" w:lineRule="auto"/>
        <w:ind w:left="9"/>
        <w:jc w:val="both"/>
      </w:pPr>
      <w:r>
        <w:rPr>
          <w:spacing w:val="-1"/>
        </w:rPr>
        <w:t>有效信息②：2024</w:t>
      </w:r>
      <w:r>
        <w:rPr>
          <w:spacing w:val="-50"/>
        </w:rPr>
        <w:t xml:space="preserve"> </w:t>
      </w:r>
      <w:r>
        <w:rPr>
          <w:spacing w:val="-1"/>
        </w:rPr>
        <w:t>年我国服务业增加值占</w:t>
      </w:r>
      <w:r>
        <w:rPr>
          <w:spacing w:val="-52"/>
        </w:rPr>
        <w:t xml:space="preserve"> </w:t>
      </w:r>
      <w:r>
        <w:rPr>
          <w:spacing w:val="-1"/>
        </w:rPr>
        <w:t>GDP</w:t>
      </w:r>
      <w:r>
        <w:rPr>
          <w:spacing w:val="-27"/>
        </w:rPr>
        <w:t xml:space="preserve"> </w:t>
      </w:r>
      <w:r>
        <w:rPr>
          <w:spacing w:val="-1"/>
        </w:rPr>
        <w:t>比重为56.8%，而材料指出西方发</w:t>
      </w:r>
      <w:r>
        <w:rPr>
          <w:spacing w:val="-2"/>
        </w:rPr>
        <w:t>达国家一般在</w:t>
      </w:r>
      <w:r>
        <w:rPr>
          <w:spacing w:val="-45"/>
        </w:rPr>
        <w:t xml:space="preserve"> </w:t>
      </w:r>
      <w:r>
        <w:rPr>
          <w:spacing w:val="-2"/>
        </w:rPr>
        <w:t>70%以上→通过将“56.8%</w:t>
      </w:r>
      <w:r>
        <w:rPr>
          <w:spacing w:val="-77"/>
        </w:rPr>
        <w:t xml:space="preserve"> </w:t>
      </w:r>
      <w:r>
        <w:rPr>
          <w:spacing w:val="-2"/>
        </w:rPr>
        <w:t>”与“70%以上</w:t>
      </w:r>
      <w:r>
        <w:rPr>
          <w:spacing w:val="-78"/>
        </w:rPr>
        <w:t xml:space="preserve"> </w:t>
      </w:r>
      <w:r>
        <w:rPr>
          <w:spacing w:val="-2"/>
        </w:rPr>
        <w:t>”进行对比，发现差距。这说明我国服务业发展水平与发</w:t>
      </w:r>
      <w:r>
        <w:rPr>
          <w:spacing w:val="-3"/>
        </w:rPr>
        <w:t>达国家相比仍有差距，</w:t>
      </w:r>
      <w:r>
        <w:rPr>
          <w:spacing w:val="-1"/>
        </w:rPr>
        <w:t>产业结构优化升级空间巨大。</w:t>
      </w:r>
    </w:p>
    <w:p w14:paraId="0C9FAE0E">
      <w:pPr>
        <w:pStyle w:val="2"/>
        <w:spacing w:before="1" w:line="411" w:lineRule="auto"/>
        <w:ind w:left="9" w:right="77"/>
        <w:jc w:val="both"/>
      </w:pPr>
      <w:r>
        <w:rPr>
          <w:spacing w:val="-1"/>
        </w:rPr>
        <w:t>有效信息③：西方发达国家服务业增加值一般占国内生产总值（GDP）总量的</w:t>
      </w:r>
      <w:r>
        <w:rPr>
          <w:spacing w:val="-39"/>
        </w:rPr>
        <w:t xml:space="preserve"> </w:t>
      </w:r>
      <w:r>
        <w:rPr>
          <w:spacing w:val="-1"/>
        </w:rPr>
        <w:t>70%</w:t>
      </w:r>
      <w:r>
        <w:rPr>
          <w:spacing w:val="84"/>
        </w:rPr>
        <w:t xml:space="preserve"> </w:t>
      </w:r>
      <w:r>
        <w:rPr>
          <w:spacing w:val="-1"/>
        </w:rPr>
        <w:t xml:space="preserve">以上。2024 </w:t>
      </w:r>
      <w:r>
        <w:rPr>
          <w:spacing w:val="-2"/>
        </w:rPr>
        <w:t xml:space="preserve"> 年，我国服务业（第三产业）增加值占</w:t>
      </w:r>
      <w:r>
        <w:rPr>
          <w:spacing w:val="-58"/>
        </w:rPr>
        <w:t xml:space="preserve"> </w:t>
      </w:r>
      <w:r>
        <w:rPr>
          <w:spacing w:val="-2"/>
        </w:rPr>
        <w:t>GDP</w:t>
      </w:r>
      <w:r>
        <w:rPr>
          <w:spacing w:val="41"/>
        </w:rPr>
        <w:t xml:space="preserve">  </w:t>
      </w:r>
      <w:r>
        <w:rPr>
          <w:spacing w:val="-2"/>
        </w:rPr>
        <w:t>比重为</w:t>
      </w:r>
      <w:r>
        <w:rPr>
          <w:spacing w:val="-51"/>
        </w:rPr>
        <w:t xml:space="preserve"> </w:t>
      </w:r>
      <w:r>
        <w:rPr>
          <w:spacing w:val="-2"/>
        </w:rPr>
        <w:t>56.8%→可联系新发展理念和新发展格局的</w:t>
      </w:r>
      <w:r>
        <w:rPr>
          <w:spacing w:val="-3"/>
        </w:rPr>
        <w:t>知识，说明要贯彻创</w:t>
      </w:r>
      <w:r>
        <w:t>新发展理念，深化供给侧结构改革，优化服务结构，助力经济高质量发展，从市场</w:t>
      </w:r>
      <w:r>
        <w:rPr>
          <w:spacing w:val="-1"/>
        </w:rPr>
        <w:t>经济体制的角度，说明要完善市场经济体系，激发市场活力。</w:t>
      </w:r>
    </w:p>
    <w:p w14:paraId="4B4E188D">
      <w:pPr>
        <w:pStyle w:val="2"/>
        <w:spacing w:before="1" w:line="218"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6E7AB0F1">
      <w:pPr>
        <w:pStyle w:val="2"/>
        <w:spacing w:before="222" w:line="411" w:lineRule="auto"/>
        <w:ind w:left="5" w:right="77" w:firstLine="410"/>
        <w:jc w:val="both"/>
        <w:rPr>
          <w:rFonts w:ascii="楷体" w:hAnsi="楷体" w:eastAsia="楷体" w:cs="楷体"/>
        </w:rPr>
      </w:pPr>
      <w:r>
        <w:rPr>
          <w:spacing w:val="-3"/>
        </w:rPr>
        <w:t>“</w:t>
      </w:r>
      <w:r>
        <w:rPr>
          <w:rFonts w:ascii="楷体" w:hAnsi="楷体" w:eastAsia="楷体" w:cs="楷体"/>
          <w:spacing w:val="-3"/>
        </w:rPr>
        <w:t>一脚踏三省，三省闻鸡鸣。</w:t>
      </w:r>
      <w:r>
        <w:rPr>
          <w:spacing w:val="-3"/>
        </w:rPr>
        <w:t>”</w:t>
      </w:r>
      <w:r>
        <w:rPr>
          <w:rFonts w:ascii="楷体" w:hAnsi="楷体" w:eastAsia="楷体" w:cs="楷体"/>
          <w:spacing w:val="-3"/>
        </w:rPr>
        <w:t>悠悠清水江，将湖南花垣边城镇、重庆秀山洪安镇、贵州松桃迓驾镇紧</w:t>
      </w:r>
      <w:r>
        <w:rPr>
          <w:rFonts w:ascii="楷体" w:hAnsi="楷体" w:eastAsia="楷体" w:cs="楷体"/>
        </w:rPr>
        <w:t>密相连。近年来，三地交流日益频繁深入。</w:t>
      </w:r>
      <w:r>
        <w:rPr>
          <w:rFonts w:ascii="Times New Roman" w:hAnsi="Times New Roman" w:eastAsia="Times New Roman" w:cs="Times New Roman"/>
        </w:rPr>
        <w:t xml:space="preserve">2022 </w:t>
      </w:r>
      <w:r>
        <w:rPr>
          <w:rFonts w:ascii="楷体" w:hAnsi="楷体" w:eastAsia="楷体" w:cs="楷体"/>
        </w:rPr>
        <w:t>年，为破解跨省份治理难题，三镇共同组建边</w:t>
      </w:r>
      <w:r>
        <w:rPr>
          <w:rFonts w:ascii="楷体" w:hAnsi="楷体" w:eastAsia="楷体" w:cs="楷体"/>
          <w:spacing w:val="-1"/>
        </w:rPr>
        <w:t>城政协委员工作室，探索出</w:t>
      </w:r>
      <w:r>
        <w:rPr>
          <w:spacing w:val="-1"/>
        </w:rPr>
        <w:t>“</w:t>
      </w:r>
      <w:r>
        <w:rPr>
          <w:rFonts w:ascii="楷体" w:hAnsi="楷体" w:eastAsia="楷体" w:cs="楷体"/>
          <w:spacing w:val="-1"/>
        </w:rPr>
        <w:t>党政联动、民生联调、景区联建、治安联防、文化联</w:t>
      </w:r>
      <w:r>
        <w:rPr>
          <w:rFonts w:ascii="楷体" w:hAnsi="楷体" w:eastAsia="楷体" w:cs="楷体"/>
          <w:spacing w:val="-2"/>
        </w:rPr>
        <w:t>谊、生态联治</w:t>
      </w:r>
      <w:r>
        <w:rPr>
          <w:rFonts w:ascii="楷体" w:hAnsi="楷体" w:eastAsia="楷体" w:cs="楷体"/>
          <w:spacing w:val="-77"/>
        </w:rPr>
        <w:t xml:space="preserve"> </w:t>
      </w:r>
      <w:r>
        <w:rPr>
          <w:spacing w:val="-2"/>
        </w:rPr>
        <w:t>”</w:t>
      </w:r>
      <w:r>
        <w:rPr>
          <w:rFonts w:ascii="楷体" w:hAnsi="楷体" w:eastAsia="楷体" w:cs="楷体"/>
          <w:spacing w:val="-2"/>
        </w:rPr>
        <w:t>的边区</w:t>
      </w:r>
      <w:r>
        <w:rPr>
          <w:spacing w:val="-2"/>
        </w:rPr>
        <w:t>“</w:t>
      </w:r>
      <w:r>
        <w:rPr>
          <w:rFonts w:ascii="楷体" w:hAnsi="楷体" w:eastAsia="楷体" w:cs="楷体"/>
          <w:spacing w:val="-2"/>
        </w:rPr>
        <w:t>六联</w:t>
      </w:r>
      <w:r>
        <w:rPr>
          <w:rFonts w:ascii="楷体" w:hAnsi="楷体" w:eastAsia="楷体" w:cs="楷体"/>
          <w:spacing w:val="-77"/>
        </w:rPr>
        <w:t xml:space="preserve"> </w:t>
      </w:r>
      <w:r>
        <w:rPr>
          <w:spacing w:val="-2"/>
        </w:rPr>
        <w:t>”</w:t>
      </w:r>
      <w:r>
        <w:rPr>
          <w:rFonts w:ascii="楷体" w:hAnsi="楷体" w:eastAsia="楷体" w:cs="楷体"/>
          <w:spacing w:val="-2"/>
        </w:rPr>
        <w:t>工</w:t>
      </w:r>
      <w:r>
        <w:rPr>
          <w:rFonts w:ascii="楷体" w:hAnsi="楷体" w:eastAsia="楷体" w:cs="楷体"/>
          <w:spacing w:val="-5"/>
        </w:rPr>
        <w:t>作机制。</w:t>
      </w:r>
      <w:r>
        <w:rPr>
          <w:rFonts w:ascii="Times New Roman" w:hAnsi="Times New Roman" w:eastAsia="Times New Roman" w:cs="Times New Roman"/>
          <w:spacing w:val="-5"/>
        </w:rPr>
        <w:t xml:space="preserve">2023 </w:t>
      </w:r>
      <w:r>
        <w:rPr>
          <w:rFonts w:ascii="楷体" w:hAnsi="楷体" w:eastAsia="楷体" w:cs="楷体"/>
          <w:spacing w:val="-5"/>
        </w:rPr>
        <w:t>年</w:t>
      </w:r>
      <w:r>
        <w:rPr>
          <w:rFonts w:ascii="楷体" w:hAnsi="楷体" w:eastAsia="楷体" w:cs="楷体"/>
          <w:spacing w:val="-27"/>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5"/>
        </w:rPr>
        <w:t xml:space="preserve"> </w:t>
      </w:r>
      <w:r>
        <w:rPr>
          <w:rFonts w:ascii="楷体" w:hAnsi="楷体" w:eastAsia="楷体" w:cs="楷体"/>
          <w:spacing w:val="-5"/>
        </w:rPr>
        <w:t>月，三镇签订《边区民族团结协议书》，建立</w:t>
      </w:r>
      <w:r>
        <w:rPr>
          <w:spacing w:val="-5"/>
        </w:rPr>
        <w:t>“</w:t>
      </w:r>
      <w:r>
        <w:rPr>
          <w:rFonts w:ascii="楷体" w:hAnsi="楷体" w:eastAsia="楷体" w:cs="楷体"/>
          <w:spacing w:val="-5"/>
        </w:rPr>
        <w:t>边城共识</w:t>
      </w:r>
      <w:r>
        <w:rPr>
          <w:rFonts w:ascii="楷体" w:hAnsi="楷体" w:eastAsia="楷体" w:cs="楷体"/>
          <w:spacing w:val="-77"/>
        </w:rPr>
        <w:t xml:space="preserve"> </w:t>
      </w:r>
      <w:r>
        <w:rPr>
          <w:spacing w:val="-5"/>
        </w:rPr>
        <w:t>”</w:t>
      </w:r>
      <w:r>
        <w:rPr>
          <w:rFonts w:ascii="楷体" w:hAnsi="楷体" w:eastAsia="楷体" w:cs="楷体"/>
          <w:spacing w:val="-5"/>
        </w:rPr>
        <w:t>的议事规则，建立健全</w:t>
      </w:r>
      <w:r>
        <w:rPr>
          <w:spacing w:val="-5"/>
        </w:rPr>
        <w:t>“</w:t>
      </w:r>
      <w:r>
        <w:rPr>
          <w:rFonts w:ascii="楷体" w:hAnsi="楷体" w:eastAsia="楷体" w:cs="楷体"/>
          <w:spacing w:val="-5"/>
        </w:rPr>
        <w:t>渝事</w:t>
      </w:r>
      <w:r>
        <w:rPr>
          <w:rFonts w:ascii="楷体" w:hAnsi="楷体" w:eastAsia="楷体" w:cs="楷体"/>
          <w:spacing w:val="-2"/>
        </w:rPr>
        <w:t>黔来湘协商</w:t>
      </w:r>
      <w:r>
        <w:rPr>
          <w:rFonts w:ascii="楷体" w:hAnsi="楷体" w:eastAsia="楷体" w:cs="楷体"/>
          <w:spacing w:val="-77"/>
        </w:rPr>
        <w:t xml:space="preserve"> </w:t>
      </w:r>
      <w:r>
        <w:rPr>
          <w:spacing w:val="-2"/>
        </w:rPr>
        <w:t>”</w:t>
      </w:r>
      <w:r>
        <w:rPr>
          <w:rFonts w:ascii="楷体" w:hAnsi="楷体" w:eastAsia="楷体" w:cs="楷体"/>
          <w:spacing w:val="-2"/>
        </w:rPr>
        <w:t>协商机制，突破行政区划，让</w:t>
      </w:r>
      <w:r>
        <w:rPr>
          <w:spacing w:val="-2"/>
        </w:rPr>
        <w:t>“</w:t>
      </w:r>
      <w:r>
        <w:rPr>
          <w:rFonts w:ascii="楷体" w:hAnsi="楷体" w:eastAsia="楷体" w:cs="楷体"/>
          <w:spacing w:val="-2"/>
        </w:rPr>
        <w:t>三不管</w:t>
      </w:r>
      <w:r>
        <w:rPr>
          <w:rFonts w:ascii="楷体" w:hAnsi="楷体" w:eastAsia="楷体" w:cs="楷体"/>
          <w:spacing w:val="-77"/>
        </w:rPr>
        <w:t xml:space="preserve"> </w:t>
      </w:r>
      <w:r>
        <w:rPr>
          <w:spacing w:val="-2"/>
        </w:rPr>
        <w:t>”</w:t>
      </w:r>
      <w:r>
        <w:rPr>
          <w:rFonts w:ascii="楷体" w:hAnsi="楷体" w:eastAsia="楷体" w:cs="楷体"/>
          <w:spacing w:val="-2"/>
        </w:rPr>
        <w:t>变成</w:t>
      </w:r>
      <w:r>
        <w:rPr>
          <w:spacing w:val="-2"/>
        </w:rPr>
        <w:t>“</w:t>
      </w:r>
      <w:r>
        <w:rPr>
          <w:spacing w:val="-80"/>
        </w:rPr>
        <w:t xml:space="preserve"> </w:t>
      </w:r>
      <w:r>
        <w:rPr>
          <w:rFonts w:ascii="楷体" w:hAnsi="楷体" w:eastAsia="楷体" w:cs="楷体"/>
          <w:spacing w:val="-2"/>
        </w:rPr>
        <w:t>大家管</w:t>
      </w:r>
      <w:r>
        <w:rPr>
          <w:rFonts w:ascii="楷体" w:hAnsi="楷体" w:eastAsia="楷体" w:cs="楷体"/>
          <w:spacing w:val="-77"/>
        </w:rPr>
        <w:t xml:space="preserve"> </w:t>
      </w:r>
      <w:r>
        <w:rPr>
          <w:spacing w:val="-2"/>
        </w:rPr>
        <w:t>”</w:t>
      </w:r>
      <w:r>
        <w:rPr>
          <w:rFonts w:ascii="楷体" w:hAnsi="楷体" w:eastAsia="楷体" w:cs="楷体"/>
          <w:spacing w:val="-2"/>
        </w:rPr>
        <w:t>。</w:t>
      </w:r>
      <w:r>
        <w:rPr>
          <w:rFonts w:ascii="Times New Roman" w:hAnsi="Times New Roman" w:eastAsia="Times New Roman" w:cs="Times New Roman"/>
          <w:spacing w:val="-2"/>
        </w:rPr>
        <w:t>2</w:t>
      </w:r>
      <w:r>
        <w:rPr>
          <w:rFonts w:ascii="Times New Roman" w:hAnsi="Times New Roman" w:eastAsia="Times New Roman" w:cs="Times New Roman"/>
          <w:spacing w:val="-3"/>
        </w:rPr>
        <w:t xml:space="preserve">024 </w:t>
      </w:r>
      <w:r>
        <w:rPr>
          <w:rFonts w:ascii="楷体" w:hAnsi="楷体" w:eastAsia="楷体" w:cs="楷体"/>
          <w:spacing w:val="-3"/>
        </w:rPr>
        <w:t>年边城某景区涌入中外游客</w:t>
      </w:r>
      <w:r>
        <w:rPr>
          <w:rFonts w:ascii="Times New Roman" w:hAnsi="Times New Roman" w:eastAsia="Times New Roman" w:cs="Times New Roman"/>
          <w:spacing w:val="-3"/>
        </w:rPr>
        <w:t>160</w:t>
      </w:r>
      <w:r>
        <w:rPr>
          <w:rFonts w:ascii="Times New Roman" w:hAnsi="Times New Roman" w:eastAsia="Times New Roman" w:cs="Times New Roman"/>
          <w:spacing w:val="15"/>
          <w:w w:val="101"/>
        </w:rPr>
        <w:t xml:space="preserve"> </w:t>
      </w:r>
      <w:r>
        <w:rPr>
          <w:rFonts w:ascii="楷体" w:hAnsi="楷体" w:eastAsia="楷体" w:cs="楷体"/>
          <w:spacing w:val="-3"/>
        </w:rPr>
        <w:t>万人次。从文学地标到旅行热土，</w:t>
      </w:r>
      <w:r>
        <w:rPr>
          <w:spacing w:val="-3"/>
        </w:rPr>
        <w:t>“</w:t>
      </w:r>
      <w:r>
        <w:rPr>
          <w:rFonts w:ascii="楷体" w:hAnsi="楷体" w:eastAsia="楷体" w:cs="楷体"/>
          <w:spacing w:val="-3"/>
        </w:rPr>
        <w:t>世界边城</w:t>
      </w:r>
      <w:r>
        <w:rPr>
          <w:rFonts w:ascii="楷体" w:hAnsi="楷体" w:eastAsia="楷体" w:cs="楷体"/>
          <w:spacing w:val="-77"/>
        </w:rPr>
        <w:t xml:space="preserve"> </w:t>
      </w:r>
      <w:r>
        <w:rPr>
          <w:spacing w:val="-3"/>
        </w:rPr>
        <w:t>”</w:t>
      </w:r>
      <w:r>
        <w:rPr>
          <w:rFonts w:ascii="楷体" w:hAnsi="楷体" w:eastAsia="楷体" w:cs="楷体"/>
          <w:spacing w:val="-3"/>
        </w:rPr>
        <w:t>名片闪亮，出圈出彩，是三省市边</w:t>
      </w:r>
      <w:r>
        <w:rPr>
          <w:rFonts w:ascii="楷体" w:hAnsi="楷体" w:eastAsia="楷体" w:cs="楷体"/>
          <w:spacing w:val="-4"/>
        </w:rPr>
        <w:t>区人民同心建设的硕</w:t>
      </w:r>
      <w:r>
        <w:rPr>
          <w:rFonts w:ascii="楷体" w:hAnsi="楷体" w:eastAsia="楷体" w:cs="楷体"/>
          <w:spacing w:val="-2"/>
        </w:rPr>
        <w:t>果。</w:t>
      </w:r>
    </w:p>
    <w:p w14:paraId="662B64C6">
      <w:pPr>
        <w:pStyle w:val="2"/>
        <w:spacing w:before="1" w:line="218" w:lineRule="auto"/>
        <w:ind w:left="14"/>
      </w:pPr>
      <w:r>
        <w:rPr>
          <w:spacing w:val="-1"/>
        </w:rPr>
        <w:t>结合材料，运用政治与法治知识，分析“世</w:t>
      </w:r>
      <w:r>
        <w:rPr>
          <w:spacing w:val="-2"/>
        </w:rPr>
        <w:t>界边城</w:t>
      </w:r>
      <w:r>
        <w:rPr>
          <w:spacing w:val="-77"/>
        </w:rPr>
        <w:t xml:space="preserve"> </w:t>
      </w:r>
      <w:r>
        <w:rPr>
          <w:spacing w:val="-2"/>
        </w:rPr>
        <w:t>”为何能出圈出彩。</w:t>
      </w:r>
    </w:p>
    <w:p w14:paraId="0BB8B6DB">
      <w:pPr>
        <w:pStyle w:val="2"/>
        <w:spacing w:before="216" w:line="409" w:lineRule="auto"/>
        <w:ind w:left="8" w:right="75" w:hanging="9"/>
      </w:pPr>
      <w:r>
        <w:rPr>
          <w:color w:val="2E75B6"/>
          <w:spacing w:val="2"/>
        </w:rPr>
        <w:t>【答案】</w:t>
      </w:r>
      <w:r>
        <w:rPr>
          <w:spacing w:val="2"/>
        </w:rPr>
        <w:t>①坚持党的集中统一领导，落实党政联动要求，发挥党总揽全局、协调各方的领导核心</w:t>
      </w:r>
      <w:r>
        <w:rPr>
          <w:spacing w:val="1"/>
        </w:rPr>
        <w:t>作用，为</w:t>
      </w:r>
      <w:r>
        <w:rPr>
          <w:spacing w:val="-1"/>
        </w:rPr>
        <w:t>边区协同发展提供了根本政治保证。</w:t>
      </w:r>
    </w:p>
    <w:p w14:paraId="5D124F5F">
      <w:pPr>
        <w:pStyle w:val="2"/>
        <w:spacing w:before="3" w:line="318" w:lineRule="auto"/>
        <w:ind w:left="11" w:right="163" w:hanging="3"/>
      </w:pPr>
      <w:r>
        <w:t>②充分发挥人民政协作为专门协商机构的作用，组建跨区域政协委员工作室，汇聚多方</w:t>
      </w:r>
      <w:r>
        <w:rPr>
          <w:spacing w:val="-1"/>
        </w:rPr>
        <w:t>治理智慧与发展共</w:t>
      </w:r>
      <w:r>
        <w:rPr>
          <w:spacing w:val="-5"/>
        </w:rPr>
        <w:t>识。</w:t>
      </w:r>
    </w:p>
    <w:p w14:paraId="383433E5">
      <w:pPr>
        <w:pStyle w:val="2"/>
        <w:spacing w:before="215" w:line="315" w:lineRule="auto"/>
        <w:ind w:left="14" w:right="163" w:hanging="6"/>
      </w:pPr>
      <w:r>
        <w:rPr>
          <w:spacing w:val="-1"/>
        </w:rPr>
        <w:t>③健全社会主义协商民主机制，创新“渝事黔来湘协商</w:t>
      </w:r>
      <w:r>
        <w:rPr>
          <w:spacing w:val="-67"/>
        </w:rPr>
        <w:t xml:space="preserve"> </w:t>
      </w:r>
      <w:r>
        <w:rPr>
          <w:spacing w:val="-1"/>
        </w:rPr>
        <w:t>”跨区域协商模式，突破行政区划壁垒，将制度优势转化为区域治理效能，破解跨省份治理难题，实现边区协同共治。</w:t>
      </w:r>
    </w:p>
    <w:p w14:paraId="68C4DE36">
      <w:pPr>
        <w:pStyle w:val="2"/>
        <w:spacing w:before="219" w:line="315" w:lineRule="auto"/>
        <w:ind w:left="11" w:right="210" w:hanging="3"/>
      </w:pPr>
      <w:r>
        <w:rPr>
          <w:spacing w:val="-1"/>
        </w:rPr>
        <w:t>④巩固发展平等团结互助和谐的社会主义新型民族关系，以民族团结凝聚三地人民共</w:t>
      </w:r>
      <w:r>
        <w:rPr>
          <w:spacing w:val="-2"/>
        </w:rPr>
        <w:t>建共享的强大合力，</w:t>
      </w:r>
      <w:r>
        <w:rPr>
          <w:spacing w:val="-1"/>
        </w:rPr>
        <w:t>调动了三地人民共同发展的积极性。</w:t>
      </w:r>
    </w:p>
    <w:p w14:paraId="562D8CDB">
      <w:pPr>
        <w:pStyle w:val="2"/>
        <w:spacing w:before="219" w:line="317" w:lineRule="auto"/>
        <w:ind w:left="11" w:right="163" w:hanging="3"/>
      </w:pPr>
      <w:r>
        <w:rPr>
          <w:spacing w:val="-1"/>
        </w:rPr>
        <w:t>⑤创新跨区域基层治理机制，通过“六联</w:t>
      </w:r>
      <w:r>
        <w:rPr>
          <w:spacing w:val="-67"/>
        </w:rPr>
        <w:t xml:space="preserve"> </w:t>
      </w:r>
      <w:r>
        <w:rPr>
          <w:spacing w:val="-1"/>
        </w:rPr>
        <w:t>”工作机制推动边区文旅、生态、民生等领域协同建设，最终实</w:t>
      </w:r>
      <w:r>
        <w:rPr>
          <w:spacing w:val="-4"/>
        </w:rPr>
        <w:t>现“世界边城</w:t>
      </w:r>
      <w:r>
        <w:rPr>
          <w:spacing w:val="-68"/>
        </w:rPr>
        <w:t xml:space="preserve"> </w:t>
      </w:r>
      <w:r>
        <w:rPr>
          <w:spacing w:val="-4"/>
        </w:rPr>
        <w:t>”出圈出彩。</w:t>
      </w:r>
    </w:p>
    <w:p w14:paraId="08103D44">
      <w:pPr>
        <w:pStyle w:val="2"/>
        <w:spacing w:before="219" w:line="220" w:lineRule="auto"/>
      </w:pPr>
      <w:r>
        <w:rPr>
          <w:color w:val="2E75B6"/>
        </w:rPr>
        <w:t>【解析】</w:t>
      </w:r>
    </w:p>
    <w:p w14:paraId="26B6AD64">
      <w:pPr>
        <w:pStyle w:val="2"/>
        <w:spacing w:before="96" w:line="219" w:lineRule="auto"/>
        <w:ind w:left="1276"/>
      </w:pPr>
      <w:r>
        <w:rPr>
          <w:position w:val="12"/>
        </w:rPr>
        <w:drawing>
          <wp:inline distT="0" distB="0" distL="0" distR="0">
            <wp:extent cx="9525" cy="95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0"/>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7"/>
        </w:rPr>
        <w:t>第</w:t>
      </w:r>
      <w:r>
        <w:rPr>
          <w:spacing w:val="-27"/>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8"/>
        </w:rPr>
        <w:t xml:space="preserve"> </w:t>
      </w:r>
      <w:r>
        <w:rPr>
          <w:rFonts w:ascii="Times New Roman" w:hAnsi="Times New Roman" w:eastAsia="Times New Roman" w:cs="Times New Roman"/>
          <w:spacing w:val="-7"/>
        </w:rPr>
        <w:t>17</w:t>
      </w:r>
      <w:r>
        <w:rPr>
          <w:spacing w:val="-7"/>
        </w:rPr>
        <w:t>页</w:t>
      </w:r>
    </w:p>
    <w:p w14:paraId="75DF33DF">
      <w:pPr>
        <w:spacing w:line="219" w:lineRule="auto"/>
        <w:sectPr>
          <w:pgSz w:w="11900" w:h="16839"/>
          <w:pgMar w:top="400" w:right="996" w:bottom="0" w:left="1078" w:header="0" w:footer="0" w:gutter="0"/>
          <w:cols w:space="720" w:num="1"/>
        </w:sectPr>
      </w:pPr>
    </w:p>
    <w:p w14:paraId="7FCA65AB">
      <w:pPr>
        <w:spacing w:line="244" w:lineRule="auto"/>
        <w:rPr>
          <w:rFonts w:ascii="Arial"/>
          <w:sz w:val="21"/>
        </w:rPr>
      </w:pPr>
    </w:p>
    <w:p w14:paraId="4BC48BB1">
      <w:pPr>
        <w:spacing w:line="245" w:lineRule="auto"/>
        <w:rPr>
          <w:rFonts w:ascii="Arial"/>
          <w:sz w:val="21"/>
        </w:rPr>
      </w:pPr>
    </w:p>
    <w:p w14:paraId="39871A7C">
      <w:pPr>
        <w:spacing w:line="375" w:lineRule="exact"/>
        <w:ind w:firstLine="1321"/>
      </w:pPr>
    </w:p>
    <w:p w14:paraId="2BF59368">
      <w:pPr>
        <w:pStyle w:val="2"/>
        <w:spacing w:before="183" w:line="411" w:lineRule="auto"/>
        <w:ind w:left="8" w:hanging="9"/>
      </w:pPr>
      <w:r>
        <w:rPr>
          <w:spacing w:val="-1"/>
        </w:rPr>
        <w:t>【详解】本题为原因类试题，可运用政治与法治知识，从党的领导、人民政协、协商民主、新型民族关系、基层治理等角度作答。</w:t>
      </w:r>
    </w:p>
    <w:p w14:paraId="28F8C3A7">
      <w:pPr>
        <w:pStyle w:val="2"/>
        <w:spacing w:before="1" w:line="411" w:lineRule="auto"/>
        <w:ind w:left="10" w:right="179"/>
      </w:pPr>
      <w:r>
        <w:t>有效信息①：党政联动→可从坚持党的领导角度，说明党发挥总揽全局、协调各</w:t>
      </w:r>
      <w:r>
        <w:rPr>
          <w:spacing w:val="-1"/>
        </w:rPr>
        <w:t>方的领导核心作用，为区域发展提供根本保证。</w:t>
      </w:r>
    </w:p>
    <w:p w14:paraId="079CB39C">
      <w:pPr>
        <w:pStyle w:val="2"/>
        <w:spacing w:before="1" w:line="411" w:lineRule="auto"/>
        <w:ind w:left="11" w:right="179" w:hanging="1"/>
      </w:pPr>
      <w:r>
        <w:t>有效信息②：三镇共同组建边城政协委员工作室→可从发挥人民政协作为专门协</w:t>
      </w:r>
      <w:r>
        <w:rPr>
          <w:spacing w:val="-1"/>
        </w:rPr>
        <w:t>商机构的作用角度，说明组建跨区域政协委员工作室，汇聚多方治理智慧与发展共识。</w:t>
      </w:r>
    </w:p>
    <w:p w14:paraId="5F92ADAC">
      <w:pPr>
        <w:pStyle w:val="2"/>
        <w:spacing w:before="1" w:line="411" w:lineRule="auto"/>
        <w:ind w:left="9" w:right="179" w:firstLine="1"/>
      </w:pPr>
      <w:r>
        <w:rPr>
          <w:spacing w:val="-1"/>
        </w:rPr>
        <w:t>有效信息③：建立健全“渝事黔来湘协商</w:t>
      </w:r>
      <w:r>
        <w:rPr>
          <w:spacing w:val="-70"/>
        </w:rPr>
        <w:t xml:space="preserve"> </w:t>
      </w:r>
      <w:r>
        <w:rPr>
          <w:spacing w:val="-1"/>
        </w:rPr>
        <w:t>”协商机制，突破行政区划→可从协商民主角度，说明健全社会</w:t>
      </w:r>
      <w:r>
        <w:t>主义协商民主机制，创新跨区域协商模式，将制度优势转化为区域治理效能，破解跨</w:t>
      </w:r>
      <w:r>
        <w:rPr>
          <w:spacing w:val="-1"/>
        </w:rPr>
        <w:t>省份治理难题，实现</w:t>
      </w:r>
      <w:r>
        <w:rPr>
          <w:spacing w:val="-2"/>
        </w:rPr>
        <w:t>边区协同共治。</w:t>
      </w:r>
    </w:p>
    <w:p w14:paraId="604C9A18">
      <w:pPr>
        <w:pStyle w:val="2"/>
        <w:spacing w:before="1" w:line="411" w:lineRule="auto"/>
        <w:ind w:left="9" w:right="179"/>
      </w:pPr>
      <w:r>
        <w:t>有效信息④：三镇签订《边区民族团结协议书》→可从巩固我国新型民族关系角</w:t>
      </w:r>
      <w:r>
        <w:rPr>
          <w:spacing w:val="-1"/>
        </w:rPr>
        <w:t>度，说明以民族团结凝聚</w:t>
      </w:r>
      <w:r>
        <w:t>三地人民共建共享的强大合力，调动了三地人</w:t>
      </w:r>
      <w:r>
        <w:rPr>
          <w:spacing w:val="-1"/>
        </w:rPr>
        <w:t>民共同发展的积极性。</w:t>
      </w:r>
    </w:p>
    <w:p w14:paraId="20D99895">
      <w:pPr>
        <w:pStyle w:val="2"/>
        <w:spacing w:line="411" w:lineRule="auto"/>
        <w:ind w:left="11" w:right="74" w:hanging="1"/>
      </w:pPr>
      <w:r>
        <w:rPr>
          <w:spacing w:val="1"/>
        </w:rPr>
        <w:t>有效信息⑤：探索“六联</w:t>
      </w:r>
      <w:r>
        <w:rPr>
          <w:spacing w:val="-77"/>
        </w:rPr>
        <w:t xml:space="preserve"> </w:t>
      </w:r>
      <w:r>
        <w:rPr>
          <w:spacing w:val="1"/>
        </w:rPr>
        <w:t>”工作机制→可从基层治理角度，说明创新跨区域基层治理机制</w:t>
      </w:r>
      <w:r>
        <w:t>，通过“六联</w:t>
      </w:r>
      <w:r>
        <w:rPr>
          <w:spacing w:val="-78"/>
        </w:rPr>
        <w:t xml:space="preserve"> </w:t>
      </w:r>
      <w:r>
        <w:t>”</w:t>
      </w:r>
      <w:r>
        <w:rPr>
          <w:spacing w:val="-1"/>
        </w:rPr>
        <w:t>工作机制推动边区文旅、生态、民生等领域协同建设，最终实现“世界边城</w:t>
      </w:r>
      <w:r>
        <w:rPr>
          <w:spacing w:val="-78"/>
        </w:rPr>
        <w:t xml:space="preserve"> </w:t>
      </w:r>
      <w:r>
        <w:rPr>
          <w:spacing w:val="-1"/>
        </w:rPr>
        <w:t>”出圈出彩。</w:t>
      </w:r>
    </w:p>
    <w:p w14:paraId="4A689D18">
      <w:pPr>
        <w:pStyle w:val="2"/>
        <w:spacing w:before="1" w:line="218"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5E5E0579">
      <w:pPr>
        <w:spacing w:before="221" w:line="411" w:lineRule="auto"/>
        <w:ind w:left="10" w:right="93" w:firstLine="416"/>
        <w:jc w:val="both"/>
        <w:rPr>
          <w:rFonts w:ascii="楷体" w:hAnsi="楷体" w:eastAsia="楷体" w:cs="楷体"/>
          <w:sz w:val="21"/>
          <w:szCs w:val="21"/>
        </w:rPr>
      </w:pPr>
      <w:r>
        <w:rPr>
          <w:rFonts w:ascii="楷体" w:hAnsi="楷体" w:eastAsia="楷体" w:cs="楷体"/>
          <w:spacing w:val="-2"/>
          <w:sz w:val="21"/>
          <w:szCs w:val="21"/>
        </w:rPr>
        <w:t>进入新时代，在中非元首的战略引领下，中非合作不断取得新进展。</w:t>
      </w:r>
      <w:r>
        <w:rPr>
          <w:rFonts w:ascii="楷体" w:hAnsi="楷体" w:eastAsia="楷体" w:cs="楷体"/>
          <w:spacing w:val="-40"/>
          <w:sz w:val="21"/>
          <w:szCs w:val="21"/>
        </w:rPr>
        <w:t xml:space="preserve"> </w:t>
      </w:r>
      <w:r>
        <w:rPr>
          <w:rFonts w:ascii="楷体" w:hAnsi="楷体" w:eastAsia="楷体" w:cs="楷体"/>
          <w:spacing w:val="-2"/>
          <w:sz w:val="21"/>
          <w:szCs w:val="21"/>
        </w:rPr>
        <w:t>自</w:t>
      </w:r>
      <w:r>
        <w:rPr>
          <w:rFonts w:ascii="楷体" w:hAnsi="楷体" w:eastAsia="楷体" w:cs="楷体"/>
          <w:spacing w:val="-50"/>
          <w:sz w:val="21"/>
          <w:szCs w:val="21"/>
        </w:rPr>
        <w:t xml:space="preserve"> </w:t>
      </w:r>
      <w:r>
        <w:rPr>
          <w:rFonts w:ascii="Times New Roman" w:hAnsi="Times New Roman" w:eastAsia="Times New Roman" w:cs="Times New Roman"/>
          <w:spacing w:val="-2"/>
          <w:sz w:val="21"/>
          <w:szCs w:val="21"/>
        </w:rPr>
        <w:t xml:space="preserve">2019 </w:t>
      </w:r>
      <w:r>
        <w:rPr>
          <w:rFonts w:ascii="楷体" w:hAnsi="楷体" w:eastAsia="楷体" w:cs="楷体"/>
          <w:spacing w:val="-2"/>
          <w:sz w:val="21"/>
          <w:szCs w:val="21"/>
        </w:rPr>
        <w:t>年中非经贸博览会落户湖</w:t>
      </w:r>
      <w:r>
        <w:rPr>
          <w:rFonts w:ascii="楷体" w:hAnsi="楷体" w:eastAsia="楷体" w:cs="楷体"/>
          <w:spacing w:val="-1"/>
          <w:sz w:val="21"/>
          <w:szCs w:val="21"/>
        </w:rPr>
        <w:t>南以来，湖南已成为推动中非合作、践行“一带一路</w:t>
      </w:r>
      <w:r>
        <w:rPr>
          <w:rFonts w:ascii="楷体" w:hAnsi="楷体" w:eastAsia="楷体" w:cs="楷体"/>
          <w:spacing w:val="-70"/>
          <w:sz w:val="21"/>
          <w:szCs w:val="21"/>
        </w:rPr>
        <w:t xml:space="preserve"> </w:t>
      </w:r>
      <w:r>
        <w:rPr>
          <w:rFonts w:ascii="楷体" w:hAnsi="楷体" w:eastAsia="楷体" w:cs="楷体"/>
          <w:spacing w:val="-1"/>
          <w:sz w:val="21"/>
          <w:szCs w:val="21"/>
        </w:rPr>
        <w:t>”倡议的重要阵地。中非民营经济合作论坛、中非妇</w:t>
      </w:r>
      <w:r>
        <w:rPr>
          <w:rFonts w:ascii="楷体" w:hAnsi="楷体" w:eastAsia="楷体" w:cs="楷体"/>
          <w:sz w:val="21"/>
          <w:szCs w:val="21"/>
        </w:rPr>
        <w:t>女论坛、中非民间论坛、中非青年领导人论坛等纷纷在湘举办。一幕幕关于贸易</w:t>
      </w:r>
      <w:r>
        <w:rPr>
          <w:rFonts w:ascii="楷体" w:hAnsi="楷体" w:eastAsia="楷体" w:cs="楷体"/>
          <w:spacing w:val="-1"/>
          <w:sz w:val="21"/>
          <w:szCs w:val="21"/>
        </w:rPr>
        <w:t>融通、民心相通、开放共</w:t>
      </w:r>
      <w:r>
        <w:rPr>
          <w:rFonts w:ascii="楷体" w:hAnsi="楷体" w:eastAsia="楷体" w:cs="楷体"/>
          <w:spacing w:val="-4"/>
          <w:sz w:val="21"/>
          <w:szCs w:val="21"/>
        </w:rPr>
        <w:t>赢的故事正精彩上演：卢旺达的干辣椒运抵湖南，“湘</w:t>
      </w:r>
      <w:r>
        <w:rPr>
          <w:rFonts w:ascii="楷体" w:hAnsi="楷体" w:eastAsia="楷体" w:cs="楷体"/>
          <w:spacing w:val="-77"/>
          <w:sz w:val="21"/>
          <w:szCs w:val="21"/>
        </w:rPr>
        <w:t xml:space="preserve"> </w:t>
      </w:r>
      <w:r>
        <w:rPr>
          <w:rFonts w:ascii="楷体" w:hAnsi="楷体" w:eastAsia="楷体" w:cs="楷体"/>
          <w:spacing w:val="-4"/>
          <w:sz w:val="21"/>
          <w:szCs w:val="21"/>
        </w:rPr>
        <w:t>”当有味的湘菜“湘</w:t>
      </w:r>
      <w:r>
        <w:rPr>
          <w:rFonts w:ascii="楷体" w:hAnsi="楷体" w:eastAsia="楷体" w:cs="楷体"/>
          <w:spacing w:val="-77"/>
          <w:sz w:val="21"/>
          <w:szCs w:val="21"/>
        </w:rPr>
        <w:t xml:space="preserve"> </w:t>
      </w:r>
      <w:r>
        <w:rPr>
          <w:rFonts w:ascii="楷体" w:hAnsi="楷体" w:eastAsia="楷体" w:cs="楷体"/>
          <w:spacing w:val="-4"/>
          <w:sz w:val="21"/>
          <w:szCs w:val="21"/>
        </w:rPr>
        <w:t>”飘非洲，非洲驻华使节</w:t>
      </w:r>
      <w:r>
        <w:rPr>
          <w:rFonts w:ascii="楷体" w:hAnsi="楷体" w:eastAsia="楷体" w:cs="楷体"/>
          <w:spacing w:val="-5"/>
          <w:sz w:val="21"/>
          <w:szCs w:val="21"/>
        </w:rPr>
        <w:t>代表团</w:t>
      </w:r>
      <w:r>
        <w:rPr>
          <w:rFonts w:ascii="楷体" w:hAnsi="楷体" w:eastAsia="楷体" w:cs="楷体"/>
          <w:spacing w:val="-3"/>
          <w:sz w:val="21"/>
          <w:szCs w:val="21"/>
        </w:rPr>
        <w:t>前往伟人故里韶山敬献花篮，杂交水稻“一</w:t>
      </w:r>
      <w:r>
        <w:rPr>
          <w:rFonts w:ascii="楷体" w:hAnsi="楷体" w:eastAsia="楷体" w:cs="楷体"/>
          <w:spacing w:val="-4"/>
          <w:sz w:val="21"/>
          <w:szCs w:val="21"/>
        </w:rPr>
        <w:t>带一路</w:t>
      </w:r>
      <w:r>
        <w:rPr>
          <w:rFonts w:ascii="楷体" w:hAnsi="楷体" w:eastAsia="楷体" w:cs="楷体"/>
          <w:spacing w:val="-77"/>
          <w:sz w:val="21"/>
          <w:szCs w:val="21"/>
        </w:rPr>
        <w:t xml:space="preserve"> </w:t>
      </w:r>
      <w:r>
        <w:rPr>
          <w:rFonts w:ascii="楷体" w:hAnsi="楷体" w:eastAsia="楷体" w:cs="楷体"/>
          <w:spacing w:val="-4"/>
          <w:sz w:val="21"/>
          <w:szCs w:val="21"/>
        </w:rPr>
        <w:t>”联合实验室实体化运行</w:t>
      </w:r>
      <w:r>
        <w:rPr>
          <w:rFonts w:ascii="Cambria Math" w:hAnsi="Cambria Math" w:eastAsia="Cambria Math" w:cs="Cambria Math"/>
          <w:spacing w:val="-4"/>
          <w:sz w:val="21"/>
          <w:szCs w:val="21"/>
        </w:rPr>
        <w:t>⋯⋯</w:t>
      </w:r>
      <w:r>
        <w:rPr>
          <w:rFonts w:ascii="楷体" w:hAnsi="楷体" w:eastAsia="楷体" w:cs="楷体"/>
          <w:spacing w:val="-4"/>
          <w:sz w:val="21"/>
          <w:szCs w:val="21"/>
        </w:rPr>
        <w:t>展望未来，“湖南搭台、全</w:t>
      </w:r>
      <w:r>
        <w:rPr>
          <w:rFonts w:ascii="楷体" w:hAnsi="楷体" w:eastAsia="楷体" w:cs="楷体"/>
          <w:spacing w:val="-2"/>
          <w:sz w:val="21"/>
          <w:szCs w:val="21"/>
        </w:rPr>
        <w:t>国唱戏、中非共享</w:t>
      </w:r>
      <w:r>
        <w:rPr>
          <w:rFonts w:ascii="楷体" w:hAnsi="楷体" w:eastAsia="楷体" w:cs="楷体"/>
          <w:spacing w:val="-76"/>
          <w:sz w:val="21"/>
          <w:szCs w:val="21"/>
        </w:rPr>
        <w:t xml:space="preserve"> </w:t>
      </w:r>
      <w:r>
        <w:rPr>
          <w:rFonts w:ascii="楷体" w:hAnsi="楷体" w:eastAsia="楷体" w:cs="楷体"/>
          <w:spacing w:val="-2"/>
          <w:sz w:val="21"/>
          <w:szCs w:val="21"/>
        </w:rPr>
        <w:t>”的精彩篇章将不断书写。</w:t>
      </w:r>
    </w:p>
    <w:p w14:paraId="1E87FCDA">
      <w:pPr>
        <w:pStyle w:val="2"/>
        <w:spacing w:before="1" w:line="219" w:lineRule="auto"/>
        <w:ind w:left="14"/>
      </w:pPr>
      <w:r>
        <w:t>结合材料，运用当代国际政治与经济知识，谈谈如何书</w:t>
      </w:r>
      <w:r>
        <w:rPr>
          <w:spacing w:val="-1"/>
        </w:rPr>
        <w:t>写新时代中非关系发展的新篇章。</w:t>
      </w:r>
    </w:p>
    <w:p w14:paraId="161E0920">
      <w:pPr>
        <w:pStyle w:val="2"/>
        <w:spacing w:before="220" w:line="217" w:lineRule="auto"/>
      </w:pPr>
      <w:r>
        <w:rPr>
          <w:color w:val="2E75B6"/>
        </w:rPr>
        <w:t>【答案】</w:t>
      </w:r>
      <w:r>
        <w:t>①坚持共商共建共享原则，发挥元首外交战略引领作用，推动中非合作走深走实。</w:t>
      </w:r>
    </w:p>
    <w:p w14:paraId="12DB388C">
      <w:pPr>
        <w:pStyle w:val="2"/>
        <w:spacing w:before="221" w:line="217" w:lineRule="auto"/>
        <w:ind w:left="8"/>
      </w:pPr>
      <w:r>
        <w:t>②顺应经济全球化趋势，推动中非经贸合作高质量发展</w:t>
      </w:r>
      <w:r>
        <w:rPr>
          <w:spacing w:val="-1"/>
        </w:rPr>
        <w:t>，实现互利共赢。</w:t>
      </w:r>
    </w:p>
    <w:p w14:paraId="5A1E980B">
      <w:pPr>
        <w:pStyle w:val="2"/>
        <w:spacing w:before="221" w:line="217" w:lineRule="auto"/>
        <w:ind w:left="8"/>
      </w:pPr>
      <w:r>
        <w:rPr>
          <w:spacing w:val="-1"/>
        </w:rPr>
        <w:t>③践行真正的多边主义，依托“一带一路</w:t>
      </w:r>
      <w:r>
        <w:rPr>
          <w:spacing w:val="-78"/>
        </w:rPr>
        <w:t xml:space="preserve"> </w:t>
      </w:r>
      <w:r>
        <w:rPr>
          <w:spacing w:val="-1"/>
        </w:rPr>
        <w:t>”等平台，深化中非多领域务实合作。</w:t>
      </w:r>
    </w:p>
    <w:p w14:paraId="4EBCCE53">
      <w:pPr>
        <w:pStyle w:val="2"/>
        <w:spacing w:before="221" w:line="217" w:lineRule="auto"/>
        <w:ind w:left="8"/>
      </w:pPr>
      <w:r>
        <w:t>④推动构建人类命运共同体，促进中非民心相通，夯实中非</w:t>
      </w:r>
      <w:r>
        <w:rPr>
          <w:spacing w:val="-1"/>
        </w:rPr>
        <w:t>友好的民意基础。</w:t>
      </w:r>
    </w:p>
    <w:p w14:paraId="1633D9A0">
      <w:pPr>
        <w:pStyle w:val="2"/>
        <w:spacing w:before="221" w:line="220" w:lineRule="auto"/>
      </w:pPr>
      <w:r>
        <w:rPr>
          <w:color w:val="2E75B6"/>
        </w:rPr>
        <w:t>【解析】</w:t>
      </w:r>
    </w:p>
    <w:p w14:paraId="5B0BCF49">
      <w:pPr>
        <w:pStyle w:val="2"/>
        <w:spacing w:before="219" w:line="411" w:lineRule="auto"/>
        <w:ind w:left="11" w:right="179" w:hanging="11"/>
        <w:jc w:val="both"/>
      </w:pPr>
      <w:r>
        <w:t>【详解】本题为措施类主观题，运用当代国际政治与经济知识，将材料中的“元首外交、经贸合作、一带</w:t>
      </w:r>
      <w:r>
        <w:rPr>
          <w:spacing w:val="-1"/>
        </w:rPr>
        <w:t>一路、民间交流</w:t>
      </w:r>
      <w:r>
        <w:rPr>
          <w:spacing w:val="-70"/>
        </w:rPr>
        <w:t xml:space="preserve"> </w:t>
      </w:r>
      <w:r>
        <w:rPr>
          <w:spacing w:val="-1"/>
        </w:rPr>
        <w:t>”四个信息，逐一对应到“共商共建共享、经济全球化互利共赢、真正的多边主义、构建</w:t>
      </w:r>
      <w:r>
        <w:rPr>
          <w:spacing w:val="-3"/>
        </w:rPr>
        <w:t>人类命运共同体</w:t>
      </w:r>
      <w:r>
        <w:rPr>
          <w:spacing w:val="-74"/>
        </w:rPr>
        <w:t xml:space="preserve"> </w:t>
      </w:r>
      <w:r>
        <w:rPr>
          <w:spacing w:val="-3"/>
        </w:rPr>
        <w:t>”等知识点上。</w:t>
      </w:r>
    </w:p>
    <w:p w14:paraId="72FF3852">
      <w:pPr>
        <w:pStyle w:val="2"/>
        <w:spacing w:line="217" w:lineRule="auto"/>
        <w:ind w:left="10"/>
      </w:pPr>
      <w:r>
        <w:rPr>
          <w:spacing w:val="-1"/>
        </w:rPr>
        <w:t>有效信息①：在中非元首的战略引领下，中非合作不断取得新进展→从“元首外交</w:t>
      </w:r>
      <w:r>
        <w:rPr>
          <w:spacing w:val="-70"/>
        </w:rPr>
        <w:t xml:space="preserve"> </w:t>
      </w:r>
      <w:r>
        <w:rPr>
          <w:spacing w:val="-1"/>
        </w:rPr>
        <w:t>”的角度，说明坚持共</w:t>
      </w:r>
    </w:p>
    <w:p w14:paraId="76F8CB08">
      <w:pPr>
        <w:pStyle w:val="2"/>
        <w:spacing w:before="100" w:line="219" w:lineRule="auto"/>
        <w:ind w:left="4118"/>
      </w:pPr>
      <w:r>
        <w:drawing>
          <wp:anchor distT="0" distB="0" distL="0" distR="0" simplePos="0" relativeHeight="251672576"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2EBA411C">
      <w:pPr>
        <w:spacing w:line="219" w:lineRule="auto"/>
        <w:sectPr>
          <w:pgSz w:w="11900" w:h="16839"/>
          <w:pgMar w:top="400" w:right="979" w:bottom="0" w:left="1078" w:header="0" w:footer="0" w:gutter="0"/>
          <w:cols w:space="720" w:num="1"/>
        </w:sectPr>
      </w:pPr>
    </w:p>
    <w:p w14:paraId="062E20DB">
      <w:pPr>
        <w:spacing w:line="244" w:lineRule="auto"/>
        <w:rPr>
          <w:rFonts w:ascii="Arial"/>
          <w:sz w:val="21"/>
        </w:rPr>
      </w:pPr>
    </w:p>
    <w:p w14:paraId="1B776F6D">
      <w:pPr>
        <w:spacing w:line="245" w:lineRule="auto"/>
        <w:rPr>
          <w:rFonts w:ascii="Arial"/>
          <w:sz w:val="21"/>
        </w:rPr>
      </w:pPr>
    </w:p>
    <w:p w14:paraId="3F877EDE">
      <w:pPr>
        <w:spacing w:line="375" w:lineRule="exact"/>
        <w:ind w:firstLine="1320"/>
      </w:pPr>
    </w:p>
    <w:p w14:paraId="61D6990F">
      <w:pPr>
        <w:pStyle w:val="2"/>
        <w:spacing w:before="183" w:line="219" w:lineRule="auto"/>
        <w:ind w:left="12"/>
      </w:pPr>
      <w:r>
        <w:pict>
          <v:rect id="_x0000_s1030" o:spid="_x0000_s1030" o:spt="1" style="position:absolute;left:0pt;margin-left:351pt;margin-top:10.1pt;height:0.75pt;width:0.75pt;z-index:251673600;mso-width-relative:page;mso-height-relative:page;" fillcolor="#211D0A" filled="t" stroked="f" coordsize="21600,21600">
            <v:path/>
            <v:fill on="t" opacity="27499f" focussize="0,0"/>
            <v:stroke on="f"/>
            <v:imagedata o:title=""/>
            <o:lock v:ext="edit"/>
          </v:rect>
        </w:pict>
      </w:r>
      <w:r>
        <w:rPr>
          <w:spacing w:val="-1"/>
        </w:rPr>
        <w:t>商共建共享原则，发挥元首外交引领作用。</w:t>
      </w:r>
    </w:p>
    <w:p w14:paraId="655879CA">
      <w:pPr>
        <w:pStyle w:val="2"/>
        <w:spacing w:before="219" w:line="411" w:lineRule="auto"/>
        <w:ind w:left="8" w:right="85"/>
      </w:pPr>
      <w:r>
        <w:rPr>
          <w:spacing w:val="-1"/>
        </w:rPr>
        <w:t>有效信息②：贸易融通、卢旺达干辣椒运抵湖南、湘菜飘香非洲→从“经贸合作</w:t>
      </w:r>
      <w:r>
        <w:rPr>
          <w:spacing w:val="-70"/>
        </w:rPr>
        <w:t xml:space="preserve"> </w:t>
      </w:r>
      <w:r>
        <w:rPr>
          <w:spacing w:val="-1"/>
        </w:rPr>
        <w:t>”的角度，说明顺应经济全球化趋势，推动经贸合作互利共赢。</w:t>
      </w:r>
    </w:p>
    <w:p w14:paraId="476FFC8D">
      <w:pPr>
        <w:pStyle w:val="2"/>
        <w:spacing w:before="1" w:line="411" w:lineRule="auto"/>
        <w:ind w:left="11" w:right="85" w:hanging="2"/>
      </w:pPr>
      <w:r>
        <w:rPr>
          <w:spacing w:val="-1"/>
        </w:rPr>
        <w:t>有效信息③：践行“一带一路</w:t>
      </w:r>
      <w:r>
        <w:rPr>
          <w:spacing w:val="-77"/>
        </w:rPr>
        <w:t xml:space="preserve"> </w:t>
      </w:r>
      <w:r>
        <w:rPr>
          <w:spacing w:val="-1"/>
        </w:rPr>
        <w:t>”倡议、杂交水稻联合实验室</w:t>
      </w:r>
      <w:r>
        <w:rPr>
          <w:spacing w:val="-2"/>
        </w:rPr>
        <w:t>实体化运行→从“一带一路</w:t>
      </w:r>
      <w:r>
        <w:rPr>
          <w:spacing w:val="-78"/>
        </w:rPr>
        <w:t xml:space="preserve"> </w:t>
      </w:r>
      <w:r>
        <w:rPr>
          <w:spacing w:val="-2"/>
        </w:rPr>
        <w:t>”的角度，说明践行真正的多边主义，依托共建“一带一路</w:t>
      </w:r>
      <w:r>
        <w:rPr>
          <w:spacing w:val="-60"/>
        </w:rPr>
        <w:t xml:space="preserve"> </w:t>
      </w:r>
      <w:r>
        <w:rPr>
          <w:spacing w:val="-2"/>
        </w:rPr>
        <w:t>”等平台深化务实合作。</w:t>
      </w:r>
    </w:p>
    <w:p w14:paraId="1DF23DD6">
      <w:pPr>
        <w:pStyle w:val="2"/>
        <w:spacing w:line="411" w:lineRule="auto"/>
        <w:ind w:left="10" w:right="85" w:hanging="1"/>
      </w:pPr>
      <w:r>
        <w:rPr>
          <w:spacing w:val="-1"/>
        </w:rPr>
        <w:t>有效信息④：各类民间论坛在湘举办、非洲使节敬献花篮</w:t>
      </w:r>
      <w:r>
        <w:rPr>
          <w:spacing w:val="-2"/>
        </w:rPr>
        <w:t>、民心相通→从“</w:t>
      </w:r>
      <w:r>
        <w:rPr>
          <w:spacing w:val="-76"/>
        </w:rPr>
        <w:t xml:space="preserve"> </w:t>
      </w:r>
      <w:r>
        <w:rPr>
          <w:spacing w:val="-2"/>
        </w:rPr>
        <w:t>民间交流</w:t>
      </w:r>
      <w:r>
        <w:rPr>
          <w:spacing w:val="-78"/>
        </w:rPr>
        <w:t xml:space="preserve"> </w:t>
      </w:r>
      <w:r>
        <w:rPr>
          <w:spacing w:val="-2"/>
        </w:rPr>
        <w:t>”的角度，说明推动</w:t>
      </w:r>
      <w:r>
        <w:rPr>
          <w:spacing w:val="-1"/>
        </w:rPr>
        <w:t>构建人类命运共同体，促进民心相通，夯实民意基础。</w:t>
      </w:r>
    </w:p>
    <w:p w14:paraId="63B0403C">
      <w:pPr>
        <w:pStyle w:val="2"/>
        <w:spacing w:line="218" w:lineRule="auto"/>
        <w:ind w:left="4"/>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1CBE2371">
      <w:pPr>
        <w:spacing w:before="220" w:line="220" w:lineRule="auto"/>
        <w:ind w:left="418"/>
        <w:rPr>
          <w:rFonts w:ascii="楷体" w:hAnsi="楷体" w:eastAsia="楷体" w:cs="楷体"/>
          <w:sz w:val="21"/>
          <w:szCs w:val="21"/>
        </w:rPr>
      </w:pPr>
      <w:r>
        <w:rPr>
          <w:rFonts w:ascii="楷体" w:hAnsi="楷体" w:eastAsia="楷体" w:cs="楷体"/>
          <w:sz w:val="21"/>
          <w:szCs w:val="21"/>
        </w:rPr>
        <w:t>【跃动生活，悦享健康；身上有汗，眼里有光】</w:t>
      </w:r>
    </w:p>
    <w:p w14:paraId="3881CCEF">
      <w:pPr>
        <w:spacing w:before="215" w:line="411" w:lineRule="auto"/>
        <w:ind w:left="11" w:firstLine="441"/>
        <w:rPr>
          <w:rFonts w:ascii="楷体" w:hAnsi="楷体" w:eastAsia="楷体" w:cs="楷体"/>
          <w:sz w:val="21"/>
          <w:szCs w:val="21"/>
        </w:rPr>
      </w:pPr>
      <w:r>
        <w:rPr>
          <w:rFonts w:ascii="楷体" w:hAnsi="楷体" w:eastAsia="楷体" w:cs="楷体"/>
          <w:spacing w:val="-1"/>
          <w:sz w:val="21"/>
          <w:szCs w:val="21"/>
        </w:rPr>
        <w:t>中国体育源远流长。古代马术运动是由生产、军事和娱乐发展而来，包括赛马、骑射、马球、舞马和</w:t>
      </w:r>
      <w:r>
        <w:rPr>
          <w:rFonts w:ascii="楷体" w:hAnsi="楷体" w:eastAsia="楷体" w:cs="楷体"/>
          <w:sz w:val="21"/>
          <w:szCs w:val="21"/>
        </w:rPr>
        <w:t>马技等项目。马球，又称击鞠或打毬，兴盛于唐，既是战术演练，也是运动</w:t>
      </w:r>
      <w:r>
        <w:rPr>
          <w:rFonts w:ascii="楷体" w:hAnsi="楷体" w:eastAsia="楷体" w:cs="楷体"/>
          <w:spacing w:val="-1"/>
          <w:sz w:val="21"/>
          <w:szCs w:val="21"/>
        </w:rPr>
        <w:t>休闲方式。据文献记载，唐代</w:t>
      </w:r>
      <w:r>
        <w:rPr>
          <w:rFonts w:ascii="楷体" w:hAnsi="楷体" w:eastAsia="楷体" w:cs="楷体"/>
          <w:sz w:val="21"/>
          <w:szCs w:val="21"/>
        </w:rPr>
        <w:t>宫廷与吐蕃使者进行过马球比赛。由于马球需要良马，且有场地限制，玩乐</w:t>
      </w:r>
      <w:r>
        <w:rPr>
          <w:rFonts w:ascii="楷体" w:hAnsi="楷体" w:eastAsia="楷体" w:cs="楷体"/>
          <w:spacing w:val="-1"/>
          <w:sz w:val="21"/>
          <w:szCs w:val="21"/>
        </w:rPr>
        <w:t>起来有诸多不便，老百姓便想</w:t>
      </w:r>
      <w:r>
        <w:rPr>
          <w:rFonts w:ascii="楷体" w:hAnsi="楷体" w:eastAsia="楷体" w:cs="楷体"/>
          <w:spacing w:val="-4"/>
          <w:sz w:val="21"/>
          <w:szCs w:val="21"/>
        </w:rPr>
        <w:t>出了一种更为经济的球类运动“步打</w:t>
      </w:r>
      <w:r>
        <w:rPr>
          <w:rFonts w:ascii="楷体" w:hAnsi="楷体" w:eastAsia="楷体" w:cs="楷体"/>
          <w:spacing w:val="-77"/>
          <w:sz w:val="21"/>
          <w:szCs w:val="21"/>
        </w:rPr>
        <w:t xml:space="preserve"> </w:t>
      </w:r>
      <w:r>
        <w:rPr>
          <w:rFonts w:ascii="楷体" w:hAnsi="楷体" w:eastAsia="楷体" w:cs="楷体"/>
          <w:spacing w:val="-4"/>
          <w:sz w:val="21"/>
          <w:szCs w:val="21"/>
        </w:rPr>
        <w:t>”。“步打</w:t>
      </w:r>
      <w:r>
        <w:rPr>
          <w:rFonts w:ascii="楷体" w:hAnsi="楷体" w:eastAsia="楷体" w:cs="楷体"/>
          <w:spacing w:val="-77"/>
          <w:sz w:val="21"/>
          <w:szCs w:val="21"/>
        </w:rPr>
        <w:t xml:space="preserve"> </w:t>
      </w:r>
      <w:r>
        <w:rPr>
          <w:rFonts w:ascii="楷体" w:hAnsi="楷体" w:eastAsia="楷体" w:cs="楷体"/>
          <w:spacing w:val="-4"/>
          <w:sz w:val="21"/>
          <w:szCs w:val="21"/>
        </w:rPr>
        <w:t>”保留了马球的规则与用具，在地面上徒步以杖</w:t>
      </w:r>
      <w:r>
        <w:rPr>
          <w:rFonts w:ascii="楷体" w:hAnsi="楷体" w:eastAsia="楷体" w:cs="楷体"/>
          <w:spacing w:val="-5"/>
          <w:sz w:val="21"/>
          <w:szCs w:val="21"/>
        </w:rPr>
        <w:t>击球入门而</w:t>
      </w:r>
      <w:r>
        <w:rPr>
          <w:rFonts w:ascii="楷体" w:hAnsi="楷体" w:eastAsia="楷体" w:cs="楷体"/>
          <w:sz w:val="21"/>
          <w:szCs w:val="21"/>
        </w:rPr>
        <w:t>计胜负，后经宋代进一步改良，玩耍成本更低、趣味性更强，到了</w:t>
      </w:r>
      <w:r>
        <w:rPr>
          <w:rFonts w:ascii="楷体" w:hAnsi="楷体" w:eastAsia="楷体" w:cs="楷体"/>
          <w:spacing w:val="-1"/>
          <w:sz w:val="21"/>
          <w:szCs w:val="21"/>
        </w:rPr>
        <w:t>明代，普通妇孺都可以玩上。</w:t>
      </w:r>
    </w:p>
    <w:p w14:paraId="112DF25B">
      <w:pPr>
        <w:spacing w:before="5" w:line="220" w:lineRule="auto"/>
        <w:ind w:left="424"/>
        <w:rPr>
          <w:rFonts w:ascii="楷体" w:hAnsi="楷体" w:eastAsia="楷体" w:cs="楷体"/>
          <w:sz w:val="21"/>
          <w:szCs w:val="21"/>
        </w:rPr>
      </w:pPr>
      <w:r>
        <w:rPr>
          <w:rFonts w:ascii="Times New Roman" w:hAnsi="Times New Roman" w:eastAsia="Times New Roman" w:cs="Times New Roman"/>
          <w:sz w:val="21"/>
          <w:szCs w:val="21"/>
        </w:rPr>
        <w:t xml:space="preserve">2008 </w:t>
      </w:r>
      <w:r>
        <w:rPr>
          <w:rFonts w:ascii="楷体" w:hAnsi="楷体" w:eastAsia="楷体" w:cs="楷体"/>
          <w:sz w:val="21"/>
          <w:szCs w:val="21"/>
        </w:rPr>
        <w:t>年，马球经国务院批准列入第二批国家级非物质文</w:t>
      </w:r>
      <w:r>
        <w:rPr>
          <w:rFonts w:ascii="楷体" w:hAnsi="楷体" w:eastAsia="楷体" w:cs="楷体"/>
          <w:spacing w:val="-1"/>
          <w:sz w:val="21"/>
          <w:szCs w:val="21"/>
        </w:rPr>
        <w:t>化遗产名录。</w:t>
      </w:r>
    </w:p>
    <w:p w14:paraId="202852A1">
      <w:pPr>
        <w:spacing w:before="219" w:line="409" w:lineRule="auto"/>
        <w:ind w:left="9" w:right="33" w:firstLine="414"/>
        <w:rPr>
          <w:rFonts w:ascii="楷体" w:hAnsi="楷体" w:eastAsia="楷体" w:cs="楷体"/>
          <w:sz w:val="21"/>
          <w:szCs w:val="21"/>
        </w:rPr>
      </w:pPr>
      <w:r>
        <w:rPr>
          <w:rFonts w:ascii="Times New Roman" w:hAnsi="Times New Roman" w:eastAsia="Times New Roman" w:cs="Times New Roman"/>
          <w:spacing w:val="-1"/>
          <w:sz w:val="21"/>
          <w:szCs w:val="21"/>
        </w:rPr>
        <w:t xml:space="preserve">2025 </w:t>
      </w:r>
      <w:r>
        <w:rPr>
          <w:rFonts w:ascii="楷体" w:hAnsi="楷体" w:eastAsia="楷体" w:cs="楷体"/>
          <w:spacing w:val="-1"/>
          <w:sz w:val="21"/>
          <w:szCs w:val="21"/>
        </w:rPr>
        <w:t>年，某学校以唐代马球为蓝本，创新出小三轮自行车上“打马球</w:t>
      </w:r>
      <w:r>
        <w:rPr>
          <w:rFonts w:ascii="楷体" w:hAnsi="楷体" w:eastAsia="楷体" w:cs="楷体"/>
          <w:spacing w:val="-64"/>
          <w:sz w:val="21"/>
          <w:szCs w:val="21"/>
        </w:rPr>
        <w:t xml:space="preserve"> </w:t>
      </w:r>
      <w:r>
        <w:rPr>
          <w:rFonts w:ascii="楷体" w:hAnsi="楷体" w:eastAsia="楷体" w:cs="楷体"/>
          <w:spacing w:val="-1"/>
          <w:sz w:val="21"/>
          <w:szCs w:val="21"/>
        </w:rPr>
        <w:t>”的体育游戏，将传统体育项目创造性转化为学生体育课程，受到孩子们的喜爱。</w:t>
      </w:r>
    </w:p>
    <w:p w14:paraId="7E414EB5">
      <w:pPr>
        <w:pStyle w:val="2"/>
        <w:spacing w:line="222" w:lineRule="auto"/>
        <w:ind w:left="13"/>
      </w:pPr>
      <w:r>
        <w:rPr>
          <w:spacing w:val="-1"/>
        </w:rPr>
        <w:t>（</w:t>
      </w:r>
      <w:r>
        <w:rPr>
          <w:rFonts w:ascii="Times New Roman" w:hAnsi="Times New Roman" w:eastAsia="Times New Roman" w:cs="Times New Roman"/>
          <w:spacing w:val="-1"/>
        </w:rPr>
        <w:t>1</w:t>
      </w:r>
      <w:r>
        <w:rPr>
          <w:spacing w:val="-1"/>
        </w:rPr>
        <w:t>）马球运动在实践中不断丰富和发展。结合材料，运用“社会存在与社会意识</w:t>
      </w:r>
      <w:r>
        <w:rPr>
          <w:spacing w:val="-76"/>
        </w:rPr>
        <w:t xml:space="preserve"> </w:t>
      </w:r>
      <w:r>
        <w:rPr>
          <w:spacing w:val="-1"/>
        </w:rPr>
        <w:t>”知识加以阐释。</w:t>
      </w:r>
    </w:p>
    <w:p w14:paraId="76B84B2F">
      <w:pPr>
        <w:pStyle w:val="2"/>
        <w:spacing w:before="216" w:line="317" w:lineRule="auto"/>
        <w:ind w:left="9" w:firstLine="3"/>
      </w:pPr>
      <w:r>
        <w:rPr>
          <w:spacing w:val="-1"/>
        </w:rPr>
        <w:t>（</w:t>
      </w:r>
      <w:r>
        <w:rPr>
          <w:rFonts w:ascii="Times New Roman" w:hAnsi="Times New Roman" w:eastAsia="Times New Roman" w:cs="Times New Roman"/>
          <w:spacing w:val="-1"/>
        </w:rPr>
        <w:t>2</w:t>
      </w:r>
      <w:r>
        <w:rPr>
          <w:spacing w:val="-1"/>
        </w:rPr>
        <w:t>）为进一步挖掘马球运动的价值，请运用信息交合法完成如下坐标，并形成一个推广马球运动的创意方案。要求：内容健康积极，不得透露任何个人信息，字数</w:t>
      </w:r>
      <w:r>
        <w:rPr>
          <w:spacing w:val="-28"/>
        </w:rPr>
        <w:t xml:space="preserve"> </w:t>
      </w:r>
      <w:r>
        <w:rPr>
          <w:rFonts w:ascii="Times New Roman" w:hAnsi="Times New Roman" w:eastAsia="Times New Roman" w:cs="Times New Roman"/>
          <w:spacing w:val="-1"/>
        </w:rPr>
        <w:t xml:space="preserve">100 </w:t>
      </w:r>
      <w:r>
        <w:rPr>
          <w:spacing w:val="-1"/>
        </w:rPr>
        <w:t>字</w:t>
      </w:r>
      <w:r>
        <w:rPr>
          <w:spacing w:val="-2"/>
        </w:rPr>
        <w:t>以内。</w:t>
      </w:r>
    </w:p>
    <w:p w14:paraId="5B70BEB0">
      <w:pPr>
        <w:spacing w:before="163" w:line="3600" w:lineRule="exact"/>
      </w:pPr>
      <w:r>
        <w:rPr>
          <w:position w:val="-71"/>
        </w:rPr>
        <w:drawing>
          <wp:inline distT="0" distB="0" distL="0" distR="0">
            <wp:extent cx="3267075" cy="22853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4"/>
                    <a:stretch>
                      <a:fillRect/>
                    </a:stretch>
                  </pic:blipFill>
                  <pic:spPr>
                    <a:xfrm>
                      <a:off x="0" y="0"/>
                      <a:ext cx="3267075" cy="2285999"/>
                    </a:xfrm>
                    <a:prstGeom prst="rect">
                      <a:avLst/>
                    </a:prstGeom>
                  </pic:spPr>
                </pic:pic>
              </a:graphicData>
            </a:graphic>
          </wp:inline>
        </w:drawing>
      </w:r>
    </w:p>
    <w:p w14:paraId="0FE9869F">
      <w:pPr>
        <w:spacing w:before="200" w:line="220" w:lineRule="auto"/>
        <w:ind w:left="418"/>
        <w:rPr>
          <w:rFonts w:ascii="楷体" w:hAnsi="楷体" w:eastAsia="楷体" w:cs="楷体"/>
          <w:sz w:val="21"/>
          <w:szCs w:val="21"/>
        </w:rPr>
      </w:pPr>
      <w:r>
        <w:rPr>
          <w:rFonts w:ascii="楷体" w:hAnsi="楷体" w:eastAsia="楷体" w:cs="楷体"/>
          <w:sz w:val="21"/>
          <w:szCs w:val="21"/>
        </w:rPr>
        <w:t>【遇见体育，预判风险；心中有法，行之有向】</w:t>
      </w:r>
    </w:p>
    <w:p w14:paraId="5DDC273D">
      <w:pPr>
        <w:spacing w:before="217" w:line="220" w:lineRule="auto"/>
        <w:ind w:left="424"/>
        <w:rPr>
          <w:rFonts w:ascii="楷体" w:hAnsi="楷体" w:eastAsia="楷体" w:cs="楷体"/>
          <w:sz w:val="21"/>
          <w:szCs w:val="21"/>
        </w:rPr>
      </w:pPr>
      <w:r>
        <w:rPr>
          <w:rFonts w:ascii="楷体" w:hAnsi="楷体" w:eastAsia="楷体" w:cs="楷体"/>
          <w:spacing w:val="-8"/>
          <w:sz w:val="21"/>
          <w:szCs w:val="21"/>
        </w:rPr>
        <w:t>在全民健身实践过程中，“城超</w:t>
      </w:r>
      <w:r>
        <w:rPr>
          <w:rFonts w:ascii="楷体" w:hAnsi="楷体" w:eastAsia="楷体" w:cs="楷体"/>
          <w:spacing w:val="-65"/>
          <w:sz w:val="21"/>
          <w:szCs w:val="21"/>
        </w:rPr>
        <w:t xml:space="preserve"> </w:t>
      </w:r>
      <w:r>
        <w:rPr>
          <w:rFonts w:ascii="楷体" w:hAnsi="楷体" w:eastAsia="楷体" w:cs="楷体"/>
          <w:spacing w:val="-8"/>
          <w:sz w:val="21"/>
          <w:szCs w:val="21"/>
        </w:rPr>
        <w:t>”“村超</w:t>
      </w:r>
      <w:r>
        <w:rPr>
          <w:rFonts w:ascii="楷体" w:hAnsi="楷体" w:eastAsia="楷体" w:cs="楷体"/>
          <w:spacing w:val="-77"/>
          <w:sz w:val="21"/>
          <w:szCs w:val="21"/>
        </w:rPr>
        <w:t xml:space="preserve"> </w:t>
      </w:r>
      <w:r>
        <w:rPr>
          <w:rFonts w:ascii="楷体" w:hAnsi="楷体" w:eastAsia="楷体" w:cs="楷体"/>
          <w:spacing w:val="-8"/>
          <w:sz w:val="21"/>
          <w:szCs w:val="21"/>
        </w:rPr>
        <w:t>”热闹非凡，“苏超</w:t>
      </w:r>
      <w:r>
        <w:rPr>
          <w:rFonts w:ascii="楷体" w:hAnsi="楷体" w:eastAsia="楷体" w:cs="楷体"/>
          <w:spacing w:val="-77"/>
          <w:sz w:val="21"/>
          <w:szCs w:val="21"/>
        </w:rPr>
        <w:t xml:space="preserve"> </w:t>
      </w:r>
      <w:r>
        <w:rPr>
          <w:rFonts w:ascii="楷体" w:hAnsi="楷体" w:eastAsia="楷体" w:cs="楷体"/>
          <w:spacing w:val="-8"/>
          <w:sz w:val="21"/>
          <w:szCs w:val="21"/>
        </w:rPr>
        <w:t>”“湘超</w:t>
      </w:r>
      <w:r>
        <w:rPr>
          <w:rFonts w:ascii="楷体" w:hAnsi="楷体" w:eastAsia="楷体" w:cs="楷体"/>
          <w:spacing w:val="-77"/>
          <w:sz w:val="21"/>
          <w:szCs w:val="21"/>
        </w:rPr>
        <w:t xml:space="preserve"> </w:t>
      </w:r>
      <w:r>
        <w:rPr>
          <w:rFonts w:ascii="楷体" w:hAnsi="楷体" w:eastAsia="楷体" w:cs="楷体"/>
          <w:spacing w:val="-8"/>
          <w:sz w:val="21"/>
          <w:szCs w:val="21"/>
        </w:rPr>
        <w:t>”精彩纷呈</w:t>
      </w:r>
      <w:r>
        <w:rPr>
          <w:rFonts w:ascii="Cambria Math" w:hAnsi="Cambria Math" w:eastAsia="Cambria Math" w:cs="Cambria Math"/>
          <w:spacing w:val="-8"/>
          <w:sz w:val="21"/>
          <w:szCs w:val="21"/>
        </w:rPr>
        <w:t>⋯⋯</w:t>
      </w:r>
      <w:r>
        <w:rPr>
          <w:rFonts w:ascii="楷体" w:hAnsi="楷体" w:eastAsia="楷体" w:cs="楷体"/>
          <w:spacing w:val="-8"/>
          <w:sz w:val="21"/>
          <w:szCs w:val="21"/>
        </w:rPr>
        <w:t>群众体育赛事极</w:t>
      </w:r>
    </w:p>
    <w:p w14:paraId="1423FCA7">
      <w:pPr>
        <w:pStyle w:val="2"/>
        <w:spacing w:before="97" w:line="219" w:lineRule="auto"/>
        <w:ind w:left="4116"/>
      </w:pPr>
      <w:r>
        <w:drawing>
          <wp:anchor distT="0" distB="0" distL="0" distR="0" simplePos="0" relativeHeight="251674624" behindDoc="0" locked="0" layoutInCell="1" allowOverlap="1">
            <wp:simplePos x="0" y="0"/>
            <wp:positionH relativeFrom="column">
              <wp:posOffset>809625</wp:posOffset>
            </wp:positionH>
            <wp:positionV relativeFrom="paragraph">
              <wp:posOffset>83820</wp:posOffset>
            </wp:positionV>
            <wp:extent cx="9525" cy="952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0840BA6C">
      <w:pPr>
        <w:spacing w:line="219" w:lineRule="auto"/>
        <w:sectPr>
          <w:pgSz w:w="11900" w:h="16839"/>
          <w:pgMar w:top="400" w:right="1073" w:bottom="0" w:left="1080" w:header="0" w:footer="0" w:gutter="0"/>
          <w:cols w:space="720" w:num="1"/>
        </w:sectPr>
      </w:pPr>
    </w:p>
    <w:p w14:paraId="6C3B2DB9">
      <w:pPr>
        <w:spacing w:line="244" w:lineRule="auto"/>
        <w:rPr>
          <w:rFonts w:ascii="Arial"/>
          <w:sz w:val="21"/>
        </w:rPr>
      </w:pPr>
    </w:p>
    <w:p w14:paraId="5FFADC4C">
      <w:pPr>
        <w:spacing w:line="245" w:lineRule="auto"/>
        <w:rPr>
          <w:rFonts w:ascii="Arial"/>
          <w:sz w:val="21"/>
        </w:rPr>
      </w:pPr>
    </w:p>
    <w:p w14:paraId="263E9FF6">
      <w:pPr>
        <w:spacing w:line="375" w:lineRule="exact"/>
        <w:ind w:firstLine="1440"/>
      </w:pPr>
    </w:p>
    <w:p w14:paraId="738AFCBC">
      <w:pPr>
        <w:spacing w:before="183" w:line="220" w:lineRule="auto"/>
        <w:ind w:left="145"/>
        <w:rPr>
          <w:rFonts w:ascii="楷体" w:hAnsi="楷体" w:eastAsia="楷体" w:cs="楷体"/>
          <w:sz w:val="21"/>
          <w:szCs w:val="21"/>
        </w:rPr>
      </w:pPr>
      <w:r>
        <w:pict>
          <v:rect id="_x0000_s1031" o:spid="_x0000_s1031" o:spt="1" style="position:absolute;left:0pt;margin-left:357pt;margin-top:10.1pt;height:0.75pt;width:0.75pt;z-index:251675648;mso-width-relative:page;mso-height-relative:page;" fillcolor="#211D0A" filled="t" stroked="f" coordsize="21600,21600">
            <v:path/>
            <v:fill on="t" opacity="27499f" focussize="0,0"/>
            <v:stroke on="f"/>
            <v:imagedata o:title=""/>
            <o:lock v:ext="edit"/>
          </v:rect>
        </w:pict>
      </w:r>
      <w:r>
        <w:rPr>
          <w:rFonts w:ascii="楷体" w:hAnsi="楷体" w:eastAsia="楷体" w:cs="楷体"/>
          <w:spacing w:val="-1"/>
          <w:sz w:val="21"/>
          <w:szCs w:val="21"/>
        </w:rPr>
        <w:t>大地激发了全民健身热潮。但是，赛事风险也不容忽</w:t>
      </w:r>
      <w:r>
        <w:rPr>
          <w:rFonts w:ascii="楷体" w:hAnsi="楷体" w:eastAsia="楷体" w:cs="楷体"/>
          <w:spacing w:val="-2"/>
          <w:sz w:val="21"/>
          <w:szCs w:val="21"/>
        </w:rPr>
        <w:t>视。</w:t>
      </w:r>
    </w:p>
    <w:p w14:paraId="5D5471EC">
      <w:pPr>
        <w:pStyle w:val="2"/>
        <w:spacing w:before="213" w:line="352" w:lineRule="auto"/>
        <w:ind w:left="129" w:right="77" w:firstLine="3"/>
      </w:pPr>
      <w:r>
        <w:rPr>
          <w:spacing w:val="-1"/>
        </w:rPr>
        <w:t>（</w:t>
      </w:r>
      <w:r>
        <w:rPr>
          <w:rFonts w:ascii="Times New Roman" w:hAnsi="Times New Roman" w:eastAsia="Times New Roman" w:cs="Times New Roman"/>
          <w:spacing w:val="-1"/>
        </w:rPr>
        <w:t>3</w:t>
      </w:r>
      <w:r>
        <w:rPr>
          <w:spacing w:val="-1"/>
        </w:rPr>
        <w:t>）面对即将到来的某群众体育赛事，活动组织者未雨绸缪，预判可能出现的法律风险并制定预案。请运用法律与生活知识，完成下表。</w:t>
      </w:r>
    </w:p>
    <w:tbl>
      <w:tblPr>
        <w:tblStyle w:val="6"/>
        <w:tblW w:w="829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39"/>
        <w:gridCol w:w="2769"/>
        <w:gridCol w:w="3586"/>
      </w:tblGrid>
      <w:tr w14:paraId="584ED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939" w:type="dxa"/>
            <w:vAlign w:val="top"/>
          </w:tcPr>
          <w:p w14:paraId="06C19F71">
            <w:pPr>
              <w:pStyle w:val="7"/>
              <w:spacing w:before="214" w:line="219" w:lineRule="auto"/>
              <w:ind w:left="547"/>
            </w:pPr>
            <w:r>
              <w:rPr>
                <w:spacing w:val="-3"/>
              </w:rPr>
              <w:t>法律风险</w:t>
            </w:r>
          </w:p>
        </w:tc>
        <w:tc>
          <w:tcPr>
            <w:tcW w:w="2769" w:type="dxa"/>
            <w:vAlign w:val="top"/>
          </w:tcPr>
          <w:p w14:paraId="431EABB8">
            <w:pPr>
              <w:pStyle w:val="7"/>
              <w:spacing w:before="214" w:line="220" w:lineRule="auto"/>
              <w:ind w:left="1174"/>
            </w:pPr>
            <w:r>
              <w:rPr>
                <w:spacing w:val="-5"/>
              </w:rPr>
              <w:t>预案</w:t>
            </w:r>
          </w:p>
        </w:tc>
        <w:tc>
          <w:tcPr>
            <w:tcW w:w="3586" w:type="dxa"/>
            <w:vAlign w:val="top"/>
          </w:tcPr>
          <w:p w14:paraId="3E1D86E1">
            <w:pPr>
              <w:pStyle w:val="7"/>
              <w:spacing w:before="214" w:line="219" w:lineRule="auto"/>
              <w:ind w:left="1375"/>
            </w:pPr>
            <w:r>
              <w:rPr>
                <w:spacing w:val="-3"/>
              </w:rPr>
              <w:t>主要依据</w:t>
            </w:r>
          </w:p>
        </w:tc>
      </w:tr>
      <w:tr w14:paraId="5634F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1939" w:type="dxa"/>
            <w:vAlign w:val="top"/>
          </w:tcPr>
          <w:p w14:paraId="39D5C9EC">
            <w:pPr>
              <w:pStyle w:val="7"/>
              <w:spacing w:before="211" w:line="219" w:lineRule="auto"/>
              <w:ind w:left="127"/>
            </w:pPr>
            <w:r>
              <w:rPr>
                <w:spacing w:val="-2"/>
              </w:rPr>
              <w:t>赛事冠名企业在赛</w:t>
            </w:r>
          </w:p>
          <w:p w14:paraId="1BDF56B3">
            <w:pPr>
              <w:pStyle w:val="7"/>
              <w:spacing w:before="218" w:line="219" w:lineRule="auto"/>
              <w:ind w:left="125"/>
            </w:pPr>
            <w:r>
              <w:rPr>
                <w:spacing w:val="-1"/>
              </w:rPr>
              <w:t>场虚假宣传产品功</w:t>
            </w:r>
          </w:p>
          <w:p w14:paraId="0050ECDE">
            <w:pPr>
              <w:pStyle w:val="7"/>
              <w:spacing w:before="219" w:line="221" w:lineRule="auto"/>
              <w:ind w:left="869"/>
            </w:pPr>
            <w:r>
              <w:t>能</w:t>
            </w:r>
          </w:p>
        </w:tc>
        <w:tc>
          <w:tcPr>
            <w:tcW w:w="2769" w:type="dxa"/>
            <w:vAlign w:val="top"/>
          </w:tcPr>
          <w:p w14:paraId="7A7E0DCB">
            <w:pPr>
              <w:pStyle w:val="7"/>
              <w:spacing w:before="211" w:line="218" w:lineRule="auto"/>
              <w:ind w:left="110"/>
            </w:pPr>
            <w:r>
              <w:rPr>
                <w:spacing w:val="-1"/>
              </w:rPr>
              <w:t>严格审查冠名企业广告内</w:t>
            </w:r>
          </w:p>
          <w:p w14:paraId="4931F7C9">
            <w:pPr>
              <w:pStyle w:val="7"/>
              <w:spacing w:before="219" w:line="381" w:lineRule="auto"/>
              <w:ind w:left="109" w:right="133" w:firstLine="2"/>
            </w:pPr>
            <w:r>
              <w:rPr>
                <w:spacing w:val="-1"/>
              </w:rPr>
              <w:t>容；及时撤换相关企业涉事</w:t>
            </w:r>
            <w:r>
              <w:rPr>
                <w:spacing w:val="-3"/>
              </w:rPr>
              <w:t>广告等</w:t>
            </w:r>
          </w:p>
        </w:tc>
        <w:tc>
          <w:tcPr>
            <w:tcW w:w="3586" w:type="dxa"/>
            <w:vAlign w:val="top"/>
          </w:tcPr>
          <w:p w14:paraId="1DD0F08F">
            <w:pPr>
              <w:spacing w:line="373" w:lineRule="auto"/>
              <w:rPr>
                <w:rFonts w:ascii="Arial"/>
                <w:sz w:val="21"/>
              </w:rPr>
            </w:pPr>
          </w:p>
          <w:p w14:paraId="409E5EA3">
            <w:pPr>
              <w:pStyle w:val="7"/>
              <w:spacing w:before="69" w:line="414" w:lineRule="auto"/>
              <w:ind w:left="118" w:right="107" w:hanging="2"/>
            </w:pPr>
            <w:r>
              <w:rPr>
                <w:spacing w:val="-1"/>
              </w:rPr>
              <w:t>经营者应公平竞争、诚信经营，保障</w:t>
            </w:r>
            <w:r>
              <w:rPr>
                <w:spacing w:val="-3"/>
              </w:rPr>
              <w:t>消费者知情权</w:t>
            </w:r>
          </w:p>
        </w:tc>
      </w:tr>
      <w:tr w14:paraId="6926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1939" w:type="dxa"/>
            <w:vAlign w:val="top"/>
          </w:tcPr>
          <w:p w14:paraId="1598D98A">
            <w:pPr>
              <w:spacing w:line="372" w:lineRule="auto"/>
              <w:rPr>
                <w:rFonts w:ascii="Arial"/>
                <w:sz w:val="21"/>
              </w:rPr>
            </w:pPr>
          </w:p>
          <w:p w14:paraId="76156CF0">
            <w:pPr>
              <w:pStyle w:val="7"/>
              <w:spacing w:before="68" w:line="414" w:lineRule="auto"/>
              <w:ind w:left="441" w:right="125" w:hanging="299"/>
            </w:pPr>
            <w:r>
              <w:rPr>
                <w:spacing w:val="-4"/>
              </w:rPr>
              <w:t>因地震、洪灾致比</w:t>
            </w:r>
            <w:r>
              <w:rPr>
                <w:spacing w:val="-2"/>
              </w:rPr>
              <w:t>赛无法进行</w:t>
            </w:r>
          </w:p>
        </w:tc>
        <w:tc>
          <w:tcPr>
            <w:tcW w:w="2769" w:type="dxa"/>
            <w:vAlign w:val="top"/>
          </w:tcPr>
          <w:p w14:paraId="3EE38709">
            <w:pPr>
              <w:pStyle w:val="7"/>
              <w:spacing w:before="208" w:line="392" w:lineRule="auto"/>
              <w:ind w:left="109" w:right="133"/>
            </w:pPr>
            <w:r>
              <w:rPr>
                <w:spacing w:val="-1"/>
              </w:rPr>
              <w:t>密切关注灾害预警等信息；变更或取消赛事并及时公告</w:t>
            </w:r>
            <w:r>
              <w:t>等</w:t>
            </w:r>
          </w:p>
        </w:tc>
        <w:tc>
          <w:tcPr>
            <w:tcW w:w="3586" w:type="dxa"/>
            <w:vAlign w:val="top"/>
          </w:tcPr>
          <w:p w14:paraId="640A8B59">
            <w:pPr>
              <w:spacing w:line="300" w:lineRule="auto"/>
              <w:rPr>
                <w:rFonts w:ascii="Arial"/>
                <w:sz w:val="21"/>
              </w:rPr>
            </w:pPr>
          </w:p>
          <w:p w14:paraId="5B7E33A9">
            <w:pPr>
              <w:spacing w:line="301" w:lineRule="auto"/>
              <w:rPr>
                <w:rFonts w:ascii="Arial"/>
                <w:sz w:val="21"/>
              </w:rPr>
            </w:pPr>
          </w:p>
          <w:p w14:paraId="58498C47">
            <w:pPr>
              <w:pStyle w:val="7"/>
              <w:spacing w:before="68" w:line="217" w:lineRule="auto"/>
              <w:ind w:left="1687"/>
            </w:pPr>
            <w:r>
              <w:t>①</w:t>
            </w:r>
          </w:p>
        </w:tc>
      </w:tr>
      <w:tr w14:paraId="0B9A0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939" w:type="dxa"/>
            <w:vAlign w:val="top"/>
          </w:tcPr>
          <w:p w14:paraId="7731556F">
            <w:pPr>
              <w:pStyle w:val="7"/>
              <w:spacing w:before="208" w:line="219" w:lineRule="auto"/>
              <w:ind w:left="126"/>
            </w:pPr>
            <w:r>
              <w:rPr>
                <w:spacing w:val="-2"/>
              </w:rPr>
              <w:t>观众摔伤、挤踏事</w:t>
            </w:r>
          </w:p>
          <w:p w14:paraId="635C4379">
            <w:pPr>
              <w:pStyle w:val="7"/>
              <w:spacing w:before="219" w:line="221" w:lineRule="auto"/>
              <w:ind w:left="864"/>
            </w:pPr>
            <w:r>
              <w:t>故</w:t>
            </w:r>
          </w:p>
        </w:tc>
        <w:tc>
          <w:tcPr>
            <w:tcW w:w="2769" w:type="dxa"/>
            <w:vAlign w:val="top"/>
          </w:tcPr>
          <w:p w14:paraId="23B9B525">
            <w:pPr>
              <w:spacing w:line="366" w:lineRule="auto"/>
              <w:rPr>
                <w:rFonts w:ascii="Arial"/>
                <w:sz w:val="21"/>
              </w:rPr>
            </w:pPr>
          </w:p>
          <w:p w14:paraId="7EA7CF8F">
            <w:pPr>
              <w:pStyle w:val="7"/>
              <w:spacing w:before="69" w:line="217" w:lineRule="auto"/>
              <w:ind w:left="1275"/>
            </w:pPr>
            <w:r>
              <w:t>②</w:t>
            </w:r>
          </w:p>
        </w:tc>
        <w:tc>
          <w:tcPr>
            <w:tcW w:w="3586" w:type="dxa"/>
            <w:vAlign w:val="top"/>
          </w:tcPr>
          <w:p w14:paraId="16398D08">
            <w:pPr>
              <w:pStyle w:val="7"/>
              <w:spacing w:before="208" w:line="378" w:lineRule="auto"/>
              <w:ind w:left="115" w:right="107" w:firstLine="6"/>
            </w:pPr>
            <w:r>
              <w:rPr>
                <w:spacing w:val="-2"/>
              </w:rPr>
              <w:t>公民的人身权利受法律保护；经营者</w:t>
            </w:r>
            <w:r>
              <w:rPr>
                <w:spacing w:val="-1"/>
              </w:rPr>
              <w:t>应当保证消费者安全消费的权利</w:t>
            </w:r>
          </w:p>
        </w:tc>
      </w:tr>
      <w:tr w14:paraId="5F3B5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4" w:hRule="atLeast"/>
        </w:trPr>
        <w:tc>
          <w:tcPr>
            <w:tcW w:w="1939" w:type="dxa"/>
            <w:vAlign w:val="top"/>
          </w:tcPr>
          <w:p w14:paraId="1ADE5C6D">
            <w:pPr>
              <w:spacing w:line="378" w:lineRule="auto"/>
              <w:rPr>
                <w:rFonts w:ascii="Arial"/>
                <w:sz w:val="21"/>
              </w:rPr>
            </w:pPr>
          </w:p>
          <w:p w14:paraId="6F68911E">
            <w:pPr>
              <w:pStyle w:val="7"/>
              <w:spacing w:before="68" w:line="414" w:lineRule="auto"/>
              <w:ind w:left="334" w:right="125" w:hanging="206"/>
            </w:pPr>
            <w:r>
              <w:rPr>
                <w:spacing w:val="-2"/>
              </w:rPr>
              <w:t>现场观众对运动员进行人身攻击</w:t>
            </w:r>
          </w:p>
        </w:tc>
        <w:tc>
          <w:tcPr>
            <w:tcW w:w="2769" w:type="dxa"/>
            <w:vAlign w:val="top"/>
          </w:tcPr>
          <w:p w14:paraId="158E5D67">
            <w:pPr>
              <w:spacing w:line="303" w:lineRule="auto"/>
              <w:rPr>
                <w:rFonts w:ascii="Arial"/>
                <w:sz w:val="21"/>
              </w:rPr>
            </w:pPr>
          </w:p>
          <w:p w14:paraId="0A9A63D2">
            <w:pPr>
              <w:spacing w:line="304" w:lineRule="auto"/>
              <w:rPr>
                <w:rFonts w:ascii="Arial"/>
                <w:sz w:val="21"/>
              </w:rPr>
            </w:pPr>
          </w:p>
          <w:p w14:paraId="3B39FD3F">
            <w:pPr>
              <w:pStyle w:val="7"/>
              <w:spacing w:before="68" w:line="217" w:lineRule="auto"/>
              <w:ind w:left="1275"/>
            </w:pPr>
            <w:r>
              <w:t>③</w:t>
            </w:r>
          </w:p>
        </w:tc>
        <w:tc>
          <w:tcPr>
            <w:tcW w:w="3586" w:type="dxa"/>
            <w:vAlign w:val="top"/>
          </w:tcPr>
          <w:p w14:paraId="008F31A2">
            <w:pPr>
              <w:pStyle w:val="7"/>
              <w:spacing w:before="215" w:line="219" w:lineRule="auto"/>
              <w:ind w:left="135"/>
            </w:pPr>
            <w:r>
              <w:rPr>
                <w:spacing w:val="-2"/>
              </w:rPr>
              <w:t>民法优先保护民事主体的人身自由</w:t>
            </w:r>
          </w:p>
          <w:p w14:paraId="270BC047">
            <w:pPr>
              <w:pStyle w:val="7"/>
              <w:spacing w:before="217" w:line="383" w:lineRule="auto"/>
              <w:ind w:left="116" w:right="107"/>
            </w:pPr>
            <w:r>
              <w:rPr>
                <w:spacing w:val="-1"/>
              </w:rPr>
              <w:t>和人格尊严；任何组织和个人不得侵犯公民的身体权、健康权、名誉权等</w:t>
            </w:r>
          </w:p>
        </w:tc>
      </w:tr>
    </w:tbl>
    <w:p w14:paraId="67402476">
      <w:pPr>
        <w:spacing w:line="261" w:lineRule="auto"/>
        <w:rPr>
          <w:rFonts w:ascii="Arial"/>
          <w:sz w:val="21"/>
        </w:rPr>
      </w:pPr>
    </w:p>
    <w:p w14:paraId="0C40CB37">
      <w:pPr>
        <w:spacing w:line="262" w:lineRule="auto"/>
        <w:rPr>
          <w:rFonts w:ascii="Arial"/>
          <w:sz w:val="21"/>
        </w:rPr>
      </w:pPr>
    </w:p>
    <w:p w14:paraId="31BBA1E2">
      <w:pPr>
        <w:pStyle w:val="2"/>
        <w:spacing w:before="68" w:line="413" w:lineRule="auto"/>
        <w:ind w:left="127" w:right="75" w:hanging="9"/>
      </w:pPr>
      <w:r>
        <w:rPr>
          <w:color w:val="2E75B6"/>
        </w:rPr>
        <w:t>【答案】</w:t>
      </w:r>
      <w:r>
        <w:t>（</w:t>
      </w:r>
      <w:r>
        <w:rPr>
          <w:rFonts w:ascii="Times New Roman" w:hAnsi="Times New Roman" w:eastAsia="Times New Roman" w:cs="Times New Roman"/>
        </w:rPr>
        <w:t>1</w:t>
      </w:r>
      <w:r>
        <w:t>）①社会存在决定社会意识，古代生产、军事需求催生</w:t>
      </w:r>
      <w:r>
        <w:rPr>
          <w:spacing w:val="-1"/>
        </w:rPr>
        <w:t>马球；场地、马匹的现实限制促使民众创造低成本步打等形式。</w:t>
      </w:r>
    </w:p>
    <w:p w14:paraId="442CE81F">
      <w:pPr>
        <w:pStyle w:val="2"/>
        <w:spacing w:before="1" w:line="315" w:lineRule="auto"/>
        <w:ind w:left="127" w:hanging="1"/>
      </w:pPr>
      <w:r>
        <w:rPr>
          <w:spacing w:val="-1"/>
        </w:rPr>
        <w:t>②社会意识具有相对独立性并反作用于社会存在，学校改编新式马球课程，活化传统体育</w:t>
      </w:r>
      <w:r>
        <w:rPr>
          <w:spacing w:val="-2"/>
        </w:rPr>
        <w:t>，丰富校园实践，</w:t>
      </w:r>
      <w:r>
        <w:rPr>
          <w:spacing w:val="-1"/>
        </w:rPr>
        <w:t>服务于当代人的健康生活需求，有利于推动体育文化进步。</w:t>
      </w:r>
    </w:p>
    <w:p w14:paraId="3686DDF8">
      <w:pPr>
        <w:pStyle w:val="2"/>
        <w:spacing w:before="214" w:line="219" w:lineRule="auto"/>
        <w:ind w:left="133"/>
      </w:pPr>
      <w:r>
        <w:rPr>
          <w:spacing w:val="-1"/>
        </w:rPr>
        <w:t>（</w:t>
      </w:r>
      <w:r>
        <w:rPr>
          <w:rFonts w:ascii="Times New Roman" w:hAnsi="Times New Roman" w:eastAsia="Times New Roman" w:cs="Times New Roman"/>
          <w:spacing w:val="-1"/>
        </w:rPr>
        <w:t>2</w:t>
      </w:r>
      <w:r>
        <w:rPr>
          <w:spacing w:val="-1"/>
        </w:rPr>
        <w:t>）坐标补全：x</w:t>
      </w:r>
      <w:r>
        <w:rPr>
          <w:spacing w:val="-43"/>
        </w:rPr>
        <w:t xml:space="preserve"> </w:t>
      </w:r>
      <w:r>
        <w:rPr>
          <w:spacing w:val="-1"/>
        </w:rPr>
        <w:t>轴（传播媒介</w:t>
      </w:r>
      <w:r>
        <w:rPr>
          <w:spacing w:val="-47"/>
        </w:rPr>
        <w:t>）；</w:t>
      </w:r>
      <w:r>
        <w:rPr>
          <w:spacing w:val="-1"/>
        </w:rPr>
        <w:t>z</w:t>
      </w:r>
      <w:r>
        <w:rPr>
          <w:spacing w:val="-44"/>
        </w:rPr>
        <w:t xml:space="preserve"> </w:t>
      </w:r>
      <w:r>
        <w:rPr>
          <w:spacing w:val="-1"/>
        </w:rPr>
        <w:t>轴（马球材质）z1</w:t>
      </w:r>
      <w:r>
        <w:rPr>
          <w:spacing w:val="-2"/>
        </w:rPr>
        <w:t>（环保合成材料</w:t>
      </w:r>
      <w:r>
        <w:rPr>
          <w:spacing w:val="-47"/>
        </w:rPr>
        <w:t>）；</w:t>
      </w:r>
      <w:r>
        <w:rPr>
          <w:spacing w:val="-2"/>
        </w:rPr>
        <w:t>y3（电动游船）</w:t>
      </w:r>
    </w:p>
    <w:p w14:paraId="36B6E61D">
      <w:pPr>
        <w:pStyle w:val="2"/>
        <w:spacing w:before="224" w:line="409" w:lineRule="auto"/>
        <w:ind w:left="128" w:right="163"/>
      </w:pPr>
      <w:r>
        <w:rPr>
          <w:spacing w:val="-1"/>
        </w:rPr>
        <w:t>创意方案：依托新媒体推送，用环保球具开展“小三轮趣味马球</w:t>
      </w:r>
      <w:r>
        <w:rPr>
          <w:spacing w:val="-69"/>
        </w:rPr>
        <w:t xml:space="preserve"> </w:t>
      </w:r>
      <w:r>
        <w:rPr>
          <w:spacing w:val="-1"/>
        </w:rPr>
        <w:t>”校园体验赛，降低参与门槛，让非遗马球文化轻松走进大众生活。</w:t>
      </w:r>
    </w:p>
    <w:p w14:paraId="6B731CBA">
      <w:pPr>
        <w:pStyle w:val="2"/>
        <w:spacing w:line="318" w:lineRule="auto"/>
        <w:ind w:left="128" w:right="77" w:firstLine="5"/>
      </w:pPr>
      <w:r>
        <w:rPr>
          <w:spacing w:val="-1"/>
        </w:rPr>
        <w:t>（</w:t>
      </w:r>
      <w:r>
        <w:rPr>
          <w:rFonts w:ascii="Times New Roman" w:hAnsi="Times New Roman" w:eastAsia="Times New Roman" w:cs="Times New Roman"/>
          <w:spacing w:val="-1"/>
        </w:rPr>
        <w:t>3</w:t>
      </w:r>
      <w:r>
        <w:rPr>
          <w:spacing w:val="-1"/>
        </w:rPr>
        <w:t>）①不可抗力属于法定免责事由，因不可抗力不能履行合同，可部分或全部免除责任，应及时通知对方</w:t>
      </w:r>
      <w:r>
        <w:rPr>
          <w:spacing w:val="-2"/>
        </w:rPr>
        <w:t>减少损失。</w:t>
      </w:r>
    </w:p>
    <w:p w14:paraId="32C4A2CF">
      <w:pPr>
        <w:pStyle w:val="2"/>
        <w:spacing w:before="217" w:line="315" w:lineRule="auto"/>
        <w:ind w:left="129" w:right="163" w:hanging="3"/>
      </w:pPr>
      <w:r>
        <w:t>②完善场地防护设施，增设安保与急救人员；入场限流分流，张贴安全警示；购买公众</w:t>
      </w:r>
      <w:r>
        <w:rPr>
          <w:spacing w:val="-1"/>
        </w:rPr>
        <w:t>责任险，事故发生后及时救助、依法赔偿。</w:t>
      </w:r>
    </w:p>
    <w:p w14:paraId="53207EC5">
      <w:pPr>
        <w:pStyle w:val="2"/>
        <w:spacing w:before="219" w:line="217" w:lineRule="auto"/>
        <w:ind w:left="126"/>
      </w:pPr>
      <w:r>
        <w:t>③安保人员及时劝阻、带离滋事观众；情节严重移交公安；公示维权渠道，对受侵害运</w:t>
      </w:r>
      <w:r>
        <w:rPr>
          <w:spacing w:val="-1"/>
        </w:rPr>
        <w:t>动员协助依法追责</w:t>
      </w:r>
    </w:p>
    <w:p w14:paraId="584ED1F5">
      <w:pPr>
        <w:pStyle w:val="2"/>
        <w:spacing w:before="196" w:line="219" w:lineRule="auto"/>
        <w:ind w:left="4236"/>
      </w:pPr>
      <w:r>
        <w:drawing>
          <wp:anchor distT="0" distB="0" distL="0" distR="0" simplePos="0" relativeHeight="251676672" behindDoc="0" locked="0" layoutInCell="1" allowOverlap="1">
            <wp:simplePos x="0" y="0"/>
            <wp:positionH relativeFrom="column">
              <wp:posOffset>885825</wp:posOffset>
            </wp:positionH>
            <wp:positionV relativeFrom="paragraph">
              <wp:posOffset>146685</wp:posOffset>
            </wp:positionV>
            <wp:extent cx="9525" cy="952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417EE93">
      <w:pPr>
        <w:spacing w:line="219" w:lineRule="auto"/>
        <w:sectPr>
          <w:pgSz w:w="11900" w:h="16839"/>
          <w:pgMar w:top="400" w:right="996" w:bottom="0" w:left="960" w:header="0" w:footer="0" w:gutter="0"/>
          <w:cols w:space="720" w:num="1"/>
        </w:sectPr>
      </w:pPr>
    </w:p>
    <w:p w14:paraId="7798198A">
      <w:pPr>
        <w:spacing w:line="244" w:lineRule="auto"/>
        <w:rPr>
          <w:rFonts w:ascii="Arial"/>
          <w:sz w:val="21"/>
        </w:rPr>
      </w:pPr>
    </w:p>
    <w:p w14:paraId="7C9675C6">
      <w:pPr>
        <w:spacing w:line="245" w:lineRule="auto"/>
        <w:rPr>
          <w:rFonts w:ascii="Arial"/>
          <w:sz w:val="21"/>
        </w:rPr>
      </w:pPr>
    </w:p>
    <w:p w14:paraId="2C5842F7">
      <w:pPr>
        <w:spacing w:line="375" w:lineRule="exact"/>
        <w:ind w:firstLine="1321"/>
      </w:pPr>
    </w:p>
    <w:p w14:paraId="03A4237B">
      <w:pPr>
        <w:pStyle w:val="2"/>
        <w:spacing w:before="183" w:line="219" w:lineRule="auto"/>
        <w:ind w:left="14"/>
      </w:pPr>
      <w:r>
        <w:rPr>
          <w:spacing w:val="-2"/>
        </w:rPr>
        <w:t xml:space="preserve">索赔。                                                          </w:t>
      </w:r>
      <w:r>
        <w:rPr>
          <w:spacing w:val="-3"/>
        </w:rPr>
        <w:t xml:space="preserve">    </w:t>
      </w:r>
      <w:r>
        <w:rPr>
          <w:position w:val="14"/>
        </w:rPr>
        <w:drawing>
          <wp:inline distT="0" distB="0" distL="0" distR="0">
            <wp:extent cx="9525" cy="95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0"/>
                    <a:stretch>
                      <a:fillRect/>
                    </a:stretch>
                  </pic:blipFill>
                  <pic:spPr>
                    <a:xfrm>
                      <a:off x="0" y="0"/>
                      <a:ext cx="9525" cy="9525"/>
                    </a:xfrm>
                    <a:prstGeom prst="rect">
                      <a:avLst/>
                    </a:prstGeom>
                  </pic:spPr>
                </pic:pic>
              </a:graphicData>
            </a:graphic>
          </wp:inline>
        </w:drawing>
      </w:r>
    </w:p>
    <w:p w14:paraId="05B6A4DF">
      <w:pPr>
        <w:pStyle w:val="2"/>
        <w:spacing w:before="218" w:line="220" w:lineRule="auto"/>
      </w:pPr>
      <w:r>
        <w:rPr>
          <w:color w:val="2E75B6"/>
        </w:rPr>
        <w:t>【解析】</w:t>
      </w:r>
    </w:p>
    <w:p w14:paraId="491316AA">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7B4D441">
      <w:pPr>
        <w:pStyle w:val="2"/>
        <w:spacing w:before="224" w:line="411" w:lineRule="auto"/>
        <w:ind w:left="9" w:right="85"/>
      </w:pPr>
      <w:r>
        <w:t>本题为材料分析类主观题，从材料中提取马球运动产生、发展、创新的不同阶段</w:t>
      </w:r>
      <w:r>
        <w:rPr>
          <w:spacing w:val="-1"/>
        </w:rPr>
        <w:t>的实践条件及马球运动对</w:t>
      </w:r>
      <w:r>
        <w:t>社会生活、文化传承的作用，从社会存在决定社会意识、社会意识相对独立性及反</w:t>
      </w:r>
      <w:r>
        <w:rPr>
          <w:spacing w:val="-1"/>
        </w:rPr>
        <w:t>作用角度来分析作答。</w:t>
      </w:r>
      <w:r>
        <w:t>有效信息①：古代生产、军事实践催生唐代马球，马匹、场地的客观限制促使民众</w:t>
      </w:r>
      <w:r>
        <w:rPr>
          <w:spacing w:val="-1"/>
        </w:rPr>
        <w:t>创造低成本步打→可运</w:t>
      </w:r>
      <w:r>
        <w:t>用社会存在决定社会意识知识，从客观物质条件决定体育文化形态角度，说明社会</w:t>
      </w:r>
      <w:r>
        <w:rPr>
          <w:spacing w:val="-1"/>
        </w:rPr>
        <w:t>现实催生、改良传统球</w:t>
      </w:r>
      <w:r>
        <w:rPr>
          <w:spacing w:val="-3"/>
        </w:rPr>
        <w:t>类运动。</w:t>
      </w:r>
    </w:p>
    <w:p w14:paraId="5E893C24">
      <w:pPr>
        <w:pStyle w:val="2"/>
        <w:spacing w:line="410" w:lineRule="auto"/>
        <w:ind w:left="10" w:right="85"/>
      </w:pPr>
      <w:r>
        <w:t>有效信息②：步打继承马球规则、马球列入非遗，学校改编新式马球课程丰富校</w:t>
      </w:r>
      <w:r>
        <w:rPr>
          <w:spacing w:val="-1"/>
        </w:rPr>
        <w:t>园体育→可运用社会意识</w:t>
      </w:r>
      <w:r>
        <w:t>具有相对独立性、先进社会意识反作用于社会存在知识，从文化传承与当代实践</w:t>
      </w:r>
      <w:r>
        <w:rPr>
          <w:spacing w:val="-1"/>
        </w:rPr>
        <w:t>价值角度，说明传统体育文化得以延续创新，助力群众健康生活。</w:t>
      </w:r>
    </w:p>
    <w:p w14:paraId="0BBFDF43">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FC396D3">
      <w:pPr>
        <w:pStyle w:val="2"/>
        <w:spacing w:before="223" w:line="411" w:lineRule="auto"/>
        <w:ind w:left="11" w:right="85" w:hanging="1"/>
      </w:pPr>
      <w:r>
        <w:t>本题为材料分析类主观题，先分析信息交合法的坐标轴现有要素，先补全三个坐</w:t>
      </w:r>
      <w:r>
        <w:rPr>
          <w:spacing w:val="-1"/>
        </w:rPr>
        <w:t>标轴的空缺维度与对应要素，再从传播媒介与材质载体交叉创新角度来分析作答。</w:t>
      </w:r>
    </w:p>
    <w:p w14:paraId="0AB4E781">
      <w:pPr>
        <w:pStyle w:val="2"/>
        <w:spacing w:before="2" w:line="411" w:lineRule="auto"/>
        <w:ind w:left="10"/>
      </w:pPr>
      <w:r>
        <w:rPr>
          <w:spacing w:val="-2"/>
        </w:rPr>
        <w:t>有效信息①：坐标中x</w:t>
      </w:r>
      <w:r>
        <w:rPr>
          <w:spacing w:val="-47"/>
        </w:rPr>
        <w:t xml:space="preserve"> </w:t>
      </w:r>
      <w:r>
        <w:rPr>
          <w:spacing w:val="-2"/>
        </w:rPr>
        <w:t>轴为“</w:t>
      </w:r>
      <w:r>
        <w:rPr>
          <w:spacing w:val="-72"/>
        </w:rPr>
        <w:t xml:space="preserve"> </w:t>
      </w:r>
      <w:r>
        <w:rPr>
          <w:spacing w:val="-2"/>
        </w:rPr>
        <w:t>电视直播、报纸报道、新媒体推送</w:t>
      </w:r>
      <w:r>
        <w:rPr>
          <w:spacing w:val="-77"/>
        </w:rPr>
        <w:t xml:space="preserve"> </w:t>
      </w:r>
      <w:r>
        <w:rPr>
          <w:spacing w:val="-2"/>
        </w:rPr>
        <w:t>”等传播媒介，z</w:t>
      </w:r>
      <w:r>
        <w:rPr>
          <w:spacing w:val="-47"/>
        </w:rPr>
        <w:t xml:space="preserve"> </w:t>
      </w:r>
      <w:r>
        <w:rPr>
          <w:spacing w:val="-2"/>
        </w:rPr>
        <w:t>轴为“</w:t>
      </w:r>
      <w:r>
        <w:rPr>
          <w:spacing w:val="-3"/>
        </w:rPr>
        <w:t>木制、皮制、环保</w:t>
      </w:r>
      <w:r>
        <w:rPr>
          <w:spacing w:val="-1"/>
        </w:rPr>
        <w:t>合成材料</w:t>
      </w:r>
      <w:r>
        <w:rPr>
          <w:spacing w:val="-77"/>
        </w:rPr>
        <w:t xml:space="preserve"> </w:t>
      </w:r>
      <w:r>
        <w:rPr>
          <w:spacing w:val="-1"/>
        </w:rPr>
        <w:t>”等马球材质，且</w:t>
      </w:r>
      <w:r>
        <w:rPr>
          <w:spacing w:val="-44"/>
        </w:rPr>
        <w:t xml:space="preserve"> </w:t>
      </w:r>
      <w:r>
        <w:rPr>
          <w:spacing w:val="-1"/>
        </w:rPr>
        <w:t>y</w:t>
      </w:r>
      <w:r>
        <w:rPr>
          <w:spacing w:val="-44"/>
        </w:rPr>
        <w:t xml:space="preserve"> </w:t>
      </w:r>
      <w:r>
        <w:rPr>
          <w:spacing w:val="-1"/>
        </w:rPr>
        <w:t>轴涉及“</w:t>
      </w:r>
      <w:r>
        <w:rPr>
          <w:spacing w:val="-72"/>
        </w:rPr>
        <w:t xml:space="preserve"> </w:t>
      </w:r>
      <w:r>
        <w:rPr>
          <w:spacing w:val="-1"/>
        </w:rPr>
        <w:t>电动游船</w:t>
      </w:r>
      <w:r>
        <w:rPr>
          <w:spacing w:val="-77"/>
        </w:rPr>
        <w:t xml:space="preserve"> </w:t>
      </w:r>
      <w:r>
        <w:rPr>
          <w:spacing w:val="-1"/>
        </w:rPr>
        <w:t>”</w:t>
      </w:r>
      <w:r>
        <w:rPr>
          <w:spacing w:val="-2"/>
        </w:rPr>
        <w:t>等新载体→可运用信息交合法知识，明确x、y、z</w:t>
      </w:r>
      <w:r>
        <w:rPr>
          <w:spacing w:val="-45"/>
        </w:rPr>
        <w:t xml:space="preserve"> </w:t>
      </w:r>
      <w:r>
        <w:rPr>
          <w:spacing w:val="-2"/>
        </w:rPr>
        <w:t>轴分</w:t>
      </w:r>
      <w:r>
        <w:rPr>
          <w:spacing w:val="-1"/>
        </w:rPr>
        <w:t>别对应的类别，补全三个坐标轴的空缺维度与对应要素。</w:t>
      </w:r>
    </w:p>
    <w:p w14:paraId="21C8E4C2">
      <w:pPr>
        <w:pStyle w:val="2"/>
        <w:spacing w:before="4" w:line="410" w:lineRule="auto"/>
        <w:ind w:left="9" w:firstLine="1"/>
      </w:pPr>
      <w:r>
        <w:rPr>
          <w:spacing w:val="-1"/>
        </w:rPr>
        <w:t>有效信息②：创意方案中“依托新媒体推送</w:t>
      </w:r>
      <w:r>
        <w:rPr>
          <w:spacing w:val="-77"/>
        </w:rPr>
        <w:t xml:space="preserve"> </w:t>
      </w:r>
      <w:r>
        <w:rPr>
          <w:spacing w:val="-1"/>
        </w:rPr>
        <w:t>”开展“小三轮</w:t>
      </w:r>
      <w:r>
        <w:rPr>
          <w:spacing w:val="-2"/>
        </w:rPr>
        <w:t>趣味马球</w:t>
      </w:r>
      <w:r>
        <w:rPr>
          <w:spacing w:val="-78"/>
        </w:rPr>
        <w:t xml:space="preserve"> </w:t>
      </w:r>
      <w:r>
        <w:rPr>
          <w:spacing w:val="-2"/>
        </w:rPr>
        <w:t>”校园体验赛→可运用信息交合法的</w:t>
      </w:r>
      <w:r>
        <w:t>要素重组知识，从传统项目与现代生活结合，从传播方式与实物载体交叉角度说明，</w:t>
      </w:r>
      <w:r>
        <w:rPr>
          <w:spacing w:val="-1"/>
        </w:rPr>
        <w:t>将传统马球规则与三轮车、新媒体传播交合，形成低成本、易参与的校园体育游戏，使非遗文化“活态传承</w:t>
      </w:r>
      <w:r>
        <w:rPr>
          <w:spacing w:val="-68"/>
        </w:rPr>
        <w:t xml:space="preserve"> </w:t>
      </w:r>
      <w:r>
        <w:rPr>
          <w:spacing w:val="-1"/>
        </w:rPr>
        <w:t>”，健康积极地融</w:t>
      </w:r>
      <w:r>
        <w:t>入大众日常。将不同媒介（如新媒体）与不</w:t>
      </w:r>
      <w:r>
        <w:rPr>
          <w:spacing w:val="-1"/>
        </w:rPr>
        <w:t>同材质（如环保合成材料）进行交合，可产生“新媒体+环保球</w:t>
      </w:r>
      <w:r>
        <w:rPr>
          <w:spacing w:val="-3"/>
        </w:rPr>
        <w:t>具</w:t>
      </w:r>
      <w:r>
        <w:rPr>
          <w:spacing w:val="-63"/>
        </w:rPr>
        <w:t xml:space="preserve"> </w:t>
      </w:r>
      <w:r>
        <w:rPr>
          <w:spacing w:val="-3"/>
        </w:rPr>
        <w:t>”的新型推广形式，降低参与门槛。</w:t>
      </w:r>
    </w:p>
    <w:p w14:paraId="6E6FCC24">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50B34A25">
      <w:pPr>
        <w:pStyle w:val="2"/>
        <w:spacing w:before="223" w:line="411" w:lineRule="auto"/>
        <w:ind w:left="29" w:right="85" w:hanging="19"/>
      </w:pPr>
      <w:r>
        <w:t>本题为材料分析类主观题，主体是群众体育赛事主办方风险防控，要求运用《法</w:t>
      </w:r>
      <w:r>
        <w:rPr>
          <w:spacing w:val="-1"/>
        </w:rPr>
        <w:t>律与生活》民事法律、合同、消费者权益、人身权相关知识，从风险预判、法律依据、防控预案角度作答。</w:t>
      </w:r>
    </w:p>
    <w:p w14:paraId="56F9F661">
      <w:pPr>
        <w:pStyle w:val="2"/>
        <w:spacing w:before="1" w:line="411" w:lineRule="auto"/>
        <w:ind w:left="9" w:right="85"/>
      </w:pPr>
      <w:r>
        <w:t>有效信息①：地震洪灾等自然灾害造成赛事停办→可运用合同法律制度中不可抗</w:t>
      </w:r>
      <w:r>
        <w:rPr>
          <w:spacing w:val="-1"/>
        </w:rPr>
        <w:t>力知识，从合同免责、减损义务角度，说明遭遇不可抗力需及时告知相关方降低损失。</w:t>
      </w:r>
    </w:p>
    <w:p w14:paraId="6FF81299">
      <w:pPr>
        <w:pStyle w:val="2"/>
        <w:spacing w:before="1" w:line="411" w:lineRule="auto"/>
        <w:ind w:left="13" w:right="85" w:hanging="3"/>
      </w:pPr>
      <w:r>
        <w:t>有效信息②：观众摔伤、拥挤踩踏安全事故→可运用经营者安全保障义务、公民</w:t>
      </w:r>
      <w:r>
        <w:rPr>
          <w:spacing w:val="-1"/>
        </w:rPr>
        <w:t>人身权保护知识，从场地安全管理、事前防范、事后赔偿角度，说明主办方需落实安全保障责任。</w:t>
      </w:r>
    </w:p>
    <w:p w14:paraId="5AA442DF">
      <w:pPr>
        <w:pStyle w:val="2"/>
        <w:spacing w:line="217" w:lineRule="auto"/>
        <w:ind w:left="10"/>
      </w:pPr>
      <w:r>
        <w:t>有效信息③：观众辱骂、攻击运动员侵害人身权益→可运用人格权、身体权、健</w:t>
      </w:r>
      <w:r>
        <w:rPr>
          <w:spacing w:val="-1"/>
        </w:rPr>
        <w:t>康权保护知识，从现场管</w:t>
      </w:r>
    </w:p>
    <w:p w14:paraId="5B63E49A">
      <w:pPr>
        <w:pStyle w:val="2"/>
        <w:spacing w:before="99"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0"/>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34462FEA">
      <w:pPr>
        <w:spacing w:line="219" w:lineRule="auto"/>
        <w:sectPr>
          <w:pgSz w:w="11900" w:h="16839"/>
          <w:pgMar w:top="400" w:right="1073" w:bottom="0" w:left="1078" w:header="0" w:footer="0" w:gutter="0"/>
          <w:cols w:space="720" w:num="1"/>
        </w:sectPr>
      </w:pPr>
    </w:p>
    <w:p w14:paraId="75832FA0">
      <w:pPr>
        <w:spacing w:line="244" w:lineRule="auto"/>
        <w:rPr>
          <w:rFonts w:ascii="Arial"/>
          <w:sz w:val="21"/>
        </w:rPr>
      </w:pPr>
    </w:p>
    <w:p w14:paraId="54B5E8EA">
      <w:pPr>
        <w:spacing w:line="245" w:lineRule="auto"/>
        <w:rPr>
          <w:rFonts w:ascii="Arial"/>
          <w:sz w:val="21"/>
        </w:rPr>
      </w:pPr>
    </w:p>
    <w:p w14:paraId="064AF9D1">
      <w:pPr>
        <w:spacing w:line="375" w:lineRule="exact"/>
      </w:pPr>
      <w:bookmarkStart w:id="0" w:name="_GoBack"/>
      <w:bookmarkEnd w:id="0"/>
    </w:p>
    <w:p w14:paraId="2DAF3B49">
      <w:pPr>
        <w:pStyle w:val="2"/>
        <w:spacing w:before="182" w:line="219" w:lineRule="auto"/>
        <w:ind w:left="7"/>
      </w:pPr>
      <w:r>
        <w:pict>
          <v:rect id="_x0000_s1032" o:spid="_x0000_s1032" o:spt="1" style="position:absolute;left:0pt;margin-left:351pt;margin-top:10.1pt;height:0.75pt;width:0.75pt;z-index:251678720;mso-width-relative:page;mso-height-relative:page;" fillcolor="#211D0A" filled="t" stroked="f" coordsize="21600,21600">
            <v:path/>
            <v:fill on="t" opacity="27499f" focussize="0,0"/>
            <v:stroke on="f"/>
            <v:imagedata o:title=""/>
            <o:lock v:ext="edit"/>
          </v:rect>
        </w:pict>
      </w:r>
      <w:r>
        <w:t>控、制止侵权、协助维权追责角度，说明主办方负有</w:t>
      </w:r>
      <w:r>
        <w:rPr>
          <w:spacing w:val="-1"/>
        </w:rPr>
        <w:t>现场秩序维护义务。</w:t>
      </w:r>
    </w:p>
    <w:p w14:paraId="1448DA17">
      <w:pPr>
        <w:spacing w:line="241" w:lineRule="auto"/>
        <w:rPr>
          <w:rFonts w:ascii="Arial"/>
          <w:sz w:val="21"/>
        </w:rPr>
      </w:pPr>
    </w:p>
    <w:p w14:paraId="6F832E72">
      <w:pPr>
        <w:spacing w:line="241" w:lineRule="auto"/>
        <w:rPr>
          <w:rFonts w:ascii="Arial"/>
          <w:sz w:val="21"/>
        </w:rPr>
      </w:pPr>
    </w:p>
    <w:p w14:paraId="0255EDD5">
      <w:pPr>
        <w:spacing w:line="241" w:lineRule="auto"/>
        <w:rPr>
          <w:rFonts w:ascii="Arial"/>
          <w:sz w:val="21"/>
        </w:rPr>
      </w:pPr>
    </w:p>
    <w:p w14:paraId="489184E7">
      <w:pPr>
        <w:spacing w:line="241" w:lineRule="auto"/>
        <w:rPr>
          <w:rFonts w:ascii="Arial"/>
          <w:sz w:val="21"/>
        </w:rPr>
      </w:pPr>
    </w:p>
    <w:p w14:paraId="660FCE4D">
      <w:pPr>
        <w:spacing w:line="241" w:lineRule="auto"/>
        <w:rPr>
          <w:rFonts w:ascii="Arial"/>
          <w:sz w:val="21"/>
        </w:rPr>
      </w:pPr>
    </w:p>
    <w:p w14:paraId="52E1CB9B">
      <w:pPr>
        <w:spacing w:line="241" w:lineRule="auto"/>
        <w:rPr>
          <w:rFonts w:ascii="Arial"/>
          <w:sz w:val="21"/>
        </w:rPr>
      </w:pPr>
    </w:p>
    <w:p w14:paraId="06DE0CA9">
      <w:pPr>
        <w:spacing w:line="241" w:lineRule="auto"/>
        <w:rPr>
          <w:rFonts w:ascii="Arial"/>
          <w:sz w:val="21"/>
        </w:rPr>
      </w:pPr>
    </w:p>
    <w:p w14:paraId="3E8D6B84">
      <w:pPr>
        <w:spacing w:line="241" w:lineRule="auto"/>
        <w:rPr>
          <w:rFonts w:ascii="Arial"/>
          <w:sz w:val="21"/>
        </w:rPr>
      </w:pPr>
    </w:p>
    <w:p w14:paraId="2F86712D">
      <w:pPr>
        <w:spacing w:line="241" w:lineRule="auto"/>
        <w:rPr>
          <w:rFonts w:ascii="Arial"/>
          <w:sz w:val="21"/>
        </w:rPr>
      </w:pPr>
    </w:p>
    <w:p w14:paraId="24FEB678">
      <w:pPr>
        <w:spacing w:line="241" w:lineRule="auto"/>
        <w:rPr>
          <w:rFonts w:ascii="Arial"/>
          <w:sz w:val="21"/>
        </w:rPr>
      </w:pPr>
    </w:p>
    <w:p w14:paraId="48174257">
      <w:pPr>
        <w:spacing w:line="241" w:lineRule="auto"/>
        <w:rPr>
          <w:rFonts w:ascii="Arial"/>
          <w:sz w:val="21"/>
        </w:rPr>
      </w:pPr>
    </w:p>
    <w:p w14:paraId="79778671">
      <w:pPr>
        <w:spacing w:line="242" w:lineRule="auto"/>
        <w:rPr>
          <w:rFonts w:ascii="Arial"/>
          <w:sz w:val="21"/>
        </w:rPr>
      </w:pPr>
    </w:p>
    <w:p w14:paraId="7861B82F">
      <w:pPr>
        <w:spacing w:line="242" w:lineRule="auto"/>
        <w:rPr>
          <w:rFonts w:ascii="Arial"/>
          <w:sz w:val="21"/>
        </w:rPr>
      </w:pPr>
    </w:p>
    <w:p w14:paraId="1A631142">
      <w:pPr>
        <w:spacing w:line="242" w:lineRule="auto"/>
        <w:rPr>
          <w:rFonts w:ascii="Arial"/>
          <w:sz w:val="21"/>
        </w:rPr>
      </w:pPr>
    </w:p>
    <w:p w14:paraId="27E261D9">
      <w:pPr>
        <w:spacing w:line="242" w:lineRule="auto"/>
        <w:rPr>
          <w:rFonts w:ascii="Arial"/>
          <w:sz w:val="21"/>
        </w:rPr>
      </w:pPr>
    </w:p>
    <w:p w14:paraId="0A3006A1">
      <w:pPr>
        <w:spacing w:line="242" w:lineRule="auto"/>
        <w:rPr>
          <w:rFonts w:ascii="Arial"/>
          <w:sz w:val="21"/>
        </w:rPr>
      </w:pPr>
    </w:p>
    <w:p w14:paraId="3383DE5A">
      <w:pPr>
        <w:spacing w:line="242" w:lineRule="auto"/>
        <w:rPr>
          <w:rFonts w:ascii="Arial"/>
          <w:sz w:val="21"/>
        </w:rPr>
      </w:pPr>
    </w:p>
    <w:p w14:paraId="021D19BD">
      <w:pPr>
        <w:spacing w:line="242" w:lineRule="auto"/>
        <w:rPr>
          <w:rFonts w:ascii="Arial"/>
          <w:sz w:val="21"/>
        </w:rPr>
      </w:pPr>
    </w:p>
    <w:p w14:paraId="12D663D5">
      <w:pPr>
        <w:spacing w:line="242" w:lineRule="auto"/>
        <w:rPr>
          <w:rFonts w:ascii="Arial"/>
          <w:sz w:val="21"/>
        </w:rPr>
      </w:pPr>
    </w:p>
    <w:p w14:paraId="1C4ECFF6">
      <w:pPr>
        <w:spacing w:line="242" w:lineRule="auto"/>
        <w:rPr>
          <w:rFonts w:ascii="Arial"/>
          <w:sz w:val="21"/>
        </w:rPr>
      </w:pPr>
    </w:p>
    <w:p w14:paraId="4D58B7D7">
      <w:pPr>
        <w:spacing w:line="242" w:lineRule="auto"/>
        <w:rPr>
          <w:rFonts w:ascii="Arial"/>
          <w:sz w:val="21"/>
        </w:rPr>
      </w:pPr>
    </w:p>
    <w:p w14:paraId="411B277E">
      <w:pPr>
        <w:spacing w:line="242" w:lineRule="auto"/>
        <w:rPr>
          <w:rFonts w:ascii="Arial"/>
          <w:sz w:val="21"/>
        </w:rPr>
      </w:pPr>
    </w:p>
    <w:p w14:paraId="6C06DC2D">
      <w:pPr>
        <w:spacing w:line="242" w:lineRule="auto"/>
        <w:rPr>
          <w:rFonts w:ascii="Arial"/>
          <w:sz w:val="21"/>
        </w:rPr>
      </w:pPr>
    </w:p>
    <w:p w14:paraId="3CDCC33D">
      <w:pPr>
        <w:spacing w:line="242" w:lineRule="auto"/>
        <w:rPr>
          <w:rFonts w:ascii="Arial"/>
          <w:sz w:val="21"/>
        </w:rPr>
      </w:pPr>
    </w:p>
    <w:p w14:paraId="3B7D660F">
      <w:pPr>
        <w:spacing w:line="242" w:lineRule="auto"/>
        <w:rPr>
          <w:rFonts w:ascii="Arial"/>
          <w:sz w:val="21"/>
        </w:rPr>
      </w:pPr>
    </w:p>
    <w:p w14:paraId="0F153947">
      <w:pPr>
        <w:spacing w:line="242" w:lineRule="auto"/>
        <w:rPr>
          <w:rFonts w:ascii="Arial"/>
          <w:sz w:val="21"/>
        </w:rPr>
      </w:pPr>
    </w:p>
    <w:p w14:paraId="055B09D7">
      <w:pPr>
        <w:spacing w:line="242" w:lineRule="auto"/>
        <w:rPr>
          <w:rFonts w:ascii="Arial"/>
          <w:sz w:val="21"/>
        </w:rPr>
      </w:pPr>
    </w:p>
    <w:p w14:paraId="069F8022">
      <w:pPr>
        <w:spacing w:line="242" w:lineRule="auto"/>
        <w:rPr>
          <w:rFonts w:ascii="Arial"/>
          <w:sz w:val="21"/>
        </w:rPr>
      </w:pPr>
    </w:p>
    <w:p w14:paraId="5642C26D">
      <w:pPr>
        <w:spacing w:line="242" w:lineRule="auto"/>
        <w:rPr>
          <w:rFonts w:ascii="Arial"/>
          <w:sz w:val="21"/>
        </w:rPr>
      </w:pPr>
    </w:p>
    <w:p w14:paraId="063637D8">
      <w:pPr>
        <w:spacing w:line="242" w:lineRule="auto"/>
        <w:rPr>
          <w:rFonts w:ascii="Arial"/>
          <w:sz w:val="21"/>
        </w:rPr>
      </w:pPr>
    </w:p>
    <w:p w14:paraId="55EB7CFC">
      <w:pPr>
        <w:spacing w:line="242" w:lineRule="auto"/>
        <w:rPr>
          <w:rFonts w:ascii="Arial"/>
          <w:sz w:val="21"/>
        </w:rPr>
      </w:pPr>
    </w:p>
    <w:p w14:paraId="7A687546">
      <w:pPr>
        <w:spacing w:line="242" w:lineRule="auto"/>
        <w:rPr>
          <w:rFonts w:ascii="Arial"/>
          <w:sz w:val="21"/>
        </w:rPr>
      </w:pPr>
    </w:p>
    <w:p w14:paraId="26F0F379">
      <w:pPr>
        <w:spacing w:line="67" w:lineRule="exact"/>
        <w:ind w:firstLine="3193"/>
      </w:pPr>
      <w:r>
        <w:rPr>
          <w:position w:val="-1"/>
        </w:rPr>
        <w:drawing>
          <wp:inline distT="0" distB="0" distL="0" distR="0">
            <wp:extent cx="22225" cy="4191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5"/>
                    <a:stretch>
                      <a:fillRect/>
                    </a:stretch>
                  </pic:blipFill>
                  <pic:spPr>
                    <a:xfrm>
                      <a:off x="0" y="0"/>
                      <a:ext cx="22264" cy="42319"/>
                    </a:xfrm>
                    <a:prstGeom prst="rect">
                      <a:avLst/>
                    </a:prstGeom>
                  </pic:spPr>
                </pic:pic>
              </a:graphicData>
            </a:graphic>
          </wp:inline>
        </w:drawing>
      </w:r>
    </w:p>
    <w:sectPr>
      <w:footerReference r:id="rId8" w:type="default"/>
      <w:pgSz w:w="11900" w:h="16839"/>
      <w:pgMar w:top="400" w:right="1784" w:bottom="1469" w:left="1080" w:header="0" w:footer="12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F928277-2B68-4E37-89A6-4CBF1F7EC12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2" w:fontKey="{DB9D9F28-14D3-4979-9FCE-489BBE3E3C76}"/>
  </w:font>
  <w:font w:name="Cambria Math">
    <w:panose1 w:val="02040503050406030204"/>
    <w:charset w:val="00"/>
    <w:family w:val="auto"/>
    <w:pitch w:val="default"/>
    <w:sig w:usb0="E00006FF" w:usb1="420024FF" w:usb2="02000000" w:usb3="00000000" w:csb0="2000019F" w:csb1="00000000"/>
    <w:embedRegular r:id="rId3" w:fontKey="{A40C5E5E-119D-423B-9F60-481C7F32C9BB}"/>
  </w:font>
  <w:font w:name="楷体">
    <w:panose1 w:val="02010609060101010101"/>
    <w:charset w:val="86"/>
    <w:family w:val="auto"/>
    <w:pitch w:val="default"/>
    <w:sig w:usb0="800002BF" w:usb1="38CF7CFA" w:usb2="00000016" w:usb3="00000000" w:csb0="00040001" w:csb1="00000000"/>
    <w:embedRegular r:id="rId4" w:fontKey="{F51BB996-C089-48B3-9BC5-6A61319C52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E9469">
    <w:pPr>
      <w:pStyle w:val="3"/>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0EDB0">
    <w:pPr>
      <w:pStyle w:val="2"/>
      <w:spacing w:line="210" w:lineRule="auto"/>
      <w:ind w:left="4116"/>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05CD4">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8F6B8">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93032B9"/>
    <w:rsid w:val="6ED250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12620</Words>
  <Characters>13120</Characters>
  <TotalTime>0</TotalTime>
  <ScaleCrop>false</ScaleCrop>
  <LinksUpToDate>false</LinksUpToDate>
  <CharactersWithSpaces>14648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2026-07-22T14:53:00Z</dcterms:created>
  <dc:creator>1</dc:creator>
  <cp:lastModifiedBy>王道楷</cp:lastModifiedBy>
  <dcterms:modified xsi:type="dcterms:W3CDTF">2026-07-22T07:21:20Z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2026-07-22T14:53:37Z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47DD5681537C47C6B6518DE48B00A99B_12</vt:lpwstr>
  </property>
</Properties>
</file>