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E97EDB">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11341100</wp:posOffset>
            </wp:positionV>
            <wp:extent cx="482600" cy="304800"/>
            <wp:effectExtent l="0" t="0" r="1270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6"/>
                    <a:stretch>
                      <a:fillRect/>
                    </a:stretch>
                  </pic:blipFill>
                  <pic:spPr>
                    <a:xfrm>
                      <a:off x="0" y="0"/>
                      <a:ext cx="482600" cy="3048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10236200</wp:posOffset>
            </wp:positionH>
            <wp:positionV relativeFrom="topMargin">
              <wp:posOffset>11950700</wp:posOffset>
            </wp:positionV>
            <wp:extent cx="495300" cy="317500"/>
            <wp:effectExtent l="0" t="0" r="0" b="6350"/>
            <wp:wrapNone/>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95300" cy="3175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年普通高中学业水平选择性考试（广东卷）</w:t>
      </w:r>
    </w:p>
    <w:p w14:paraId="6E1AC048">
      <w:pPr>
        <w:spacing w:line="360" w:lineRule="auto"/>
        <w:jc w:val="center"/>
        <w:textAlignment w:val="center"/>
      </w:pPr>
      <w:r>
        <w:rPr>
          <w:rFonts w:ascii="宋体" w:hAnsi="宋体" w:eastAsia="宋体" w:cs="宋体"/>
          <w:b/>
          <w:color w:val="auto"/>
          <w:sz w:val="32"/>
        </w:rPr>
        <w:t>地理</w:t>
      </w:r>
    </w:p>
    <w:p w14:paraId="27B94870">
      <w:pPr>
        <w:spacing w:line="360" w:lineRule="auto"/>
        <w:jc w:val="center"/>
        <w:textAlignment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3C8A599B">
      <w:pPr>
        <w:spacing w:line="360"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分。在每小题列出的四个选项中，只有一项符合题目要求。</w:t>
      </w:r>
    </w:p>
    <w:p w14:paraId="0EBC3E97">
      <w:pPr>
        <w:spacing w:line="360" w:lineRule="auto"/>
        <w:ind w:firstLine="420"/>
        <w:jc w:val="both"/>
        <w:textAlignment w:val="center"/>
      </w:pPr>
      <w:r>
        <w:rPr>
          <w:rFonts w:ascii="楷体" w:hAnsi="楷体" w:eastAsia="楷体" w:cs="楷体"/>
          <w:color w:val="auto"/>
        </w:rPr>
        <w:t>针对传统能源结构中化石能源的清洁性、经济性和安全性难以同时实现的困境，有学者认为通过能源转型</w:t>
      </w:r>
      <w:r>
        <w:rPr>
          <w:rFonts w:ascii="宋体" w:hAnsi="宋体" w:eastAsia="宋体" w:cs="宋体"/>
          <w:color w:val="auto"/>
        </w:rPr>
        <w:t>“</w:t>
      </w:r>
      <w:r>
        <w:rPr>
          <w:rFonts w:ascii="楷体" w:hAnsi="楷体" w:eastAsia="楷体" w:cs="楷体"/>
          <w:color w:val="auto"/>
        </w:rPr>
        <w:t>四轮驱动</w:t>
      </w:r>
      <w:r>
        <w:rPr>
          <w:rFonts w:ascii="宋体" w:hAnsi="宋体" w:eastAsia="宋体" w:cs="宋体"/>
          <w:color w:val="auto"/>
        </w:rPr>
        <w:t>”</w:t>
      </w:r>
      <w:r>
        <w:rPr>
          <w:rFonts w:ascii="楷体" w:hAnsi="楷体" w:eastAsia="楷体" w:cs="楷体"/>
          <w:color w:val="auto"/>
        </w:rPr>
        <w:t>，可促进化石能源</w:t>
      </w:r>
      <w:r>
        <w:rPr>
          <w:rFonts w:ascii="宋体" w:hAnsi="宋体" w:eastAsia="宋体" w:cs="宋体"/>
          <w:color w:val="auto"/>
        </w:rPr>
        <w:t>“</w:t>
      </w:r>
      <w:r>
        <w:rPr>
          <w:rFonts w:ascii="楷体" w:hAnsi="楷体" w:eastAsia="楷体" w:cs="楷体"/>
          <w:color w:val="auto"/>
        </w:rPr>
        <w:t>不可能三角</w:t>
      </w:r>
      <w:r>
        <w:rPr>
          <w:rFonts w:ascii="宋体" w:hAnsi="宋体" w:eastAsia="宋体" w:cs="宋体"/>
          <w:color w:val="auto"/>
        </w:rPr>
        <w:t>”</w:t>
      </w:r>
      <w:r>
        <w:rPr>
          <w:rFonts w:ascii="楷体" w:hAnsi="楷体" w:eastAsia="楷体" w:cs="楷体"/>
          <w:color w:val="auto"/>
        </w:rPr>
        <w:t>（模式</w:t>
      </w:r>
      <w:r>
        <w:rPr>
          <w:rFonts w:ascii="Times New Roman" w:hAnsi="Times New Roman" w:eastAsia="Times New Roman" w:cs="Times New Roman"/>
          <w:color w:val="auto"/>
        </w:rPr>
        <w:t>Ⅰ</w:t>
      </w:r>
      <w:r>
        <w:rPr>
          <w:rFonts w:ascii="楷体" w:hAnsi="楷体" w:eastAsia="楷体" w:cs="楷体"/>
          <w:color w:val="auto"/>
        </w:rPr>
        <w:t>）转变为新能源</w:t>
      </w:r>
      <w:r>
        <w:rPr>
          <w:rFonts w:ascii="宋体" w:hAnsi="宋体" w:eastAsia="宋体" w:cs="宋体"/>
          <w:color w:val="auto"/>
        </w:rPr>
        <w:t>“</w:t>
      </w:r>
      <w:r>
        <w:rPr>
          <w:rFonts w:ascii="楷体" w:hAnsi="楷体" w:eastAsia="楷体" w:cs="楷体"/>
          <w:color w:val="auto"/>
        </w:rPr>
        <w:t>可实现三角</w:t>
      </w:r>
      <w:r>
        <w:rPr>
          <w:rFonts w:ascii="宋体" w:hAnsi="宋体" w:eastAsia="宋体" w:cs="宋体"/>
          <w:color w:val="auto"/>
        </w:rPr>
        <w:t>”</w:t>
      </w:r>
      <w:r>
        <w:rPr>
          <w:rFonts w:ascii="楷体" w:hAnsi="楷体" w:eastAsia="楷体" w:cs="楷体"/>
          <w:color w:val="auto"/>
        </w:rPr>
        <w:t>（模式</w:t>
      </w:r>
      <w:r>
        <w:rPr>
          <w:rFonts w:ascii="Times New Roman" w:hAnsi="Times New Roman" w:eastAsia="Times New Roman" w:cs="Times New Roman"/>
          <w:color w:val="auto"/>
        </w:rPr>
        <w:t>Ⅱ</w:t>
      </w:r>
      <w:r>
        <w:rPr>
          <w:rFonts w:ascii="楷体" w:hAnsi="楷体" w:eastAsia="楷体" w:cs="楷体"/>
          <w:color w:val="auto"/>
        </w:rPr>
        <w:t>）（下图）。据此完成下面小题。</w:t>
      </w:r>
    </w:p>
    <w:p w14:paraId="0A23B50B">
      <w:pPr>
        <w:spacing w:line="360" w:lineRule="auto"/>
        <w:jc w:val="both"/>
        <w:textAlignment w:val="center"/>
      </w:pPr>
      <w:r>
        <w:drawing>
          <wp:inline distT="0" distB="0" distL="114300" distR="114300">
            <wp:extent cx="4648200" cy="1876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4648200" cy="1876425"/>
                    </a:xfrm>
                    <a:prstGeom prst="rect">
                      <a:avLst/>
                    </a:prstGeom>
                  </pic:spPr>
                </pic:pic>
              </a:graphicData>
            </a:graphic>
          </wp:inline>
        </w:drawing>
      </w:r>
    </w:p>
    <w:p w14:paraId="0E088477">
      <w:pPr>
        <w:spacing w:line="360" w:lineRule="auto"/>
        <w:jc w:val="left"/>
        <w:textAlignment w:val="center"/>
      </w:pPr>
      <w:r>
        <w:rPr>
          <w:color w:val="auto"/>
        </w:rPr>
        <w:t xml:space="preserve">1. </w:t>
      </w:r>
      <w:r>
        <w:rPr>
          <w:rFonts w:ascii="宋体" w:hAnsi="宋体" w:eastAsia="宋体" w:cs="宋体"/>
          <w:color w:val="auto"/>
        </w:rPr>
        <w:t>据上图可判断，在模式</w:t>
      </w:r>
      <w:r>
        <w:rPr>
          <w:rFonts w:ascii="Times New Roman" w:hAnsi="Times New Roman" w:eastAsia="Times New Roman" w:cs="Times New Roman"/>
          <w:color w:val="auto"/>
        </w:rPr>
        <w:t>Ⅰ</w:t>
      </w:r>
      <w:r>
        <w:rPr>
          <w:rFonts w:ascii="宋体" w:hAnsi="宋体" w:eastAsia="宋体" w:cs="宋体"/>
          <w:color w:val="auto"/>
        </w:rPr>
        <w:t>向模式</w:t>
      </w:r>
      <w:r>
        <w:rPr>
          <w:rFonts w:ascii="Times New Roman" w:hAnsi="Times New Roman" w:eastAsia="Times New Roman" w:cs="Times New Roman"/>
          <w:color w:val="auto"/>
        </w:rPr>
        <w:t>Ⅱ</w:t>
      </w:r>
      <w:r>
        <w:rPr>
          <w:rFonts w:ascii="宋体" w:hAnsi="宋体" w:eastAsia="宋体" w:cs="宋体"/>
          <w:color w:val="auto"/>
        </w:rPr>
        <w:t>转变过程中，能源转型“四轮驱动”中最关键的驱动因素是（</w:t>
      </w:r>
      <w:r>
        <w:rPr>
          <w:rFonts w:ascii="Times New Roman" w:hAnsi="Times New Roman" w:eastAsia="Times New Roman" w:cs="Times New Roman"/>
          <w:color w:val="auto"/>
        </w:rPr>
        <w:t xml:space="preserve">   </w:t>
      </w:r>
      <w:r>
        <w:rPr>
          <w:rFonts w:ascii="宋体" w:hAnsi="宋体" w:eastAsia="宋体" w:cs="宋体"/>
          <w:color w:val="auto"/>
        </w:rPr>
        <w:t>）</w:t>
      </w:r>
    </w:p>
    <w:p w14:paraId="266A88DF">
      <w:pPr>
        <w:tabs>
          <w:tab w:val="left" w:pos="4873"/>
        </w:tabs>
        <w:spacing w:line="360" w:lineRule="auto"/>
        <w:jc w:val="left"/>
        <w:textAlignment w:val="center"/>
        <w:rPr>
          <w:color w:val="auto"/>
        </w:rPr>
      </w:pPr>
      <w:r>
        <w:t xml:space="preserve">A. </w:t>
      </w:r>
      <w:r>
        <w:rPr>
          <w:rFonts w:ascii="宋体" w:hAnsi="宋体" w:eastAsia="宋体" w:cs="宋体"/>
          <w:color w:val="auto"/>
        </w:rPr>
        <w:t>“双碳”目标的引领</w:t>
      </w:r>
      <w:r>
        <w:tab/>
      </w:r>
      <w:r>
        <w:t xml:space="preserve">B. </w:t>
      </w:r>
      <w:r>
        <w:rPr>
          <w:rFonts w:ascii="宋体" w:hAnsi="宋体" w:eastAsia="宋体" w:cs="宋体"/>
          <w:color w:val="auto"/>
        </w:rPr>
        <w:t>新能源技术创新应用</w:t>
      </w:r>
    </w:p>
    <w:p w14:paraId="1153A763">
      <w:pPr>
        <w:tabs>
          <w:tab w:val="left" w:pos="4873"/>
        </w:tabs>
        <w:spacing w:line="360" w:lineRule="auto"/>
        <w:jc w:val="left"/>
        <w:textAlignment w:val="center"/>
        <w:rPr>
          <w:color w:val="auto"/>
        </w:rPr>
      </w:pPr>
      <w:r>
        <w:t xml:space="preserve">C. </w:t>
      </w:r>
      <w:r>
        <w:rPr>
          <w:rFonts w:ascii="宋体" w:hAnsi="宋体" w:eastAsia="宋体" w:cs="宋体"/>
          <w:color w:val="auto"/>
        </w:rPr>
        <w:t>能源利用的成本下降</w:t>
      </w:r>
      <w:r>
        <w:tab/>
      </w:r>
      <w:r>
        <w:t xml:space="preserve">D. </w:t>
      </w:r>
      <w:r>
        <w:rPr>
          <w:rFonts w:ascii="宋体" w:hAnsi="宋体" w:eastAsia="宋体" w:cs="宋体"/>
          <w:color w:val="auto"/>
        </w:rPr>
        <w:t>能源安全的迫切需求</w:t>
      </w:r>
    </w:p>
    <w:p w14:paraId="675FEB78">
      <w:pPr>
        <w:spacing w:line="360" w:lineRule="auto"/>
        <w:jc w:val="left"/>
        <w:textAlignment w:val="center"/>
      </w:pPr>
      <w:r>
        <w:rPr>
          <w:color w:val="auto"/>
        </w:rPr>
        <w:t xml:space="preserve">2. </w:t>
      </w:r>
      <w:r>
        <w:rPr>
          <w:rFonts w:ascii="宋体" w:hAnsi="宋体" w:eastAsia="宋体" w:cs="宋体"/>
          <w:color w:val="auto"/>
        </w:rPr>
        <w:t>新能源“可实现三角”模式的实践，对于我国能源转型的积极影响表现为（</w:t>
      </w:r>
      <w:r>
        <w:rPr>
          <w:rFonts w:ascii="Times New Roman" w:hAnsi="Times New Roman" w:eastAsia="Times New Roman" w:cs="Times New Roman"/>
          <w:color w:val="auto"/>
        </w:rPr>
        <w:t xml:space="preserve">   </w:t>
      </w:r>
      <w:r>
        <w:rPr>
          <w:rFonts w:ascii="宋体" w:hAnsi="宋体" w:eastAsia="宋体" w:cs="宋体"/>
          <w:color w:val="auto"/>
        </w:rPr>
        <w:t>）</w:t>
      </w:r>
    </w:p>
    <w:p w14:paraId="55CB50E3">
      <w:pPr>
        <w:spacing w:line="360" w:lineRule="auto"/>
        <w:jc w:val="both"/>
        <w:textAlignment w:val="center"/>
      </w:pPr>
      <w:r>
        <w:rPr>
          <w:rFonts w:ascii="宋体" w:hAnsi="宋体" w:eastAsia="宋体" w:cs="宋体"/>
          <w:color w:val="auto"/>
        </w:rPr>
        <w:t>①有利于促进能源消费结构多元化</w:t>
      </w:r>
      <w:r>
        <w:rPr>
          <w:color w:val="auto"/>
        </w:rPr>
        <w:t xml:space="preserve">    </w:t>
      </w:r>
      <w:r>
        <w:rPr>
          <w:rFonts w:ascii="宋体" w:hAnsi="宋体" w:eastAsia="宋体" w:cs="宋体"/>
          <w:color w:val="auto"/>
        </w:rPr>
        <w:t>②改变我国化石能源的自然禀赋格局</w:t>
      </w:r>
    </w:p>
    <w:p w14:paraId="0384FE95">
      <w:pPr>
        <w:spacing w:line="360" w:lineRule="auto"/>
        <w:jc w:val="both"/>
        <w:textAlignment w:val="center"/>
      </w:pPr>
      <w:r>
        <w:rPr>
          <w:rFonts w:ascii="宋体" w:hAnsi="宋体" w:eastAsia="宋体" w:cs="宋体"/>
          <w:color w:val="auto"/>
        </w:rPr>
        <w:t>③有效降低新能源研发的技术门槛</w:t>
      </w:r>
      <w:r>
        <w:rPr>
          <w:color w:val="auto"/>
        </w:rPr>
        <w:t xml:space="preserve">    </w:t>
      </w:r>
      <w:r>
        <w:rPr>
          <w:rFonts w:ascii="宋体" w:hAnsi="宋体" w:eastAsia="宋体" w:cs="宋体"/>
          <w:color w:val="auto"/>
        </w:rPr>
        <w:t>④有利于降低对进口化石能源的依赖</w:t>
      </w:r>
    </w:p>
    <w:p w14:paraId="19AEC21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①③</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②④</w:t>
      </w:r>
    </w:p>
    <w:p w14:paraId="2977EF7E">
      <w:pPr>
        <w:spacing w:line="360" w:lineRule="auto"/>
        <w:textAlignment w:val="center"/>
        <w:rPr>
          <w:color w:val="000000"/>
        </w:rPr>
      </w:pPr>
      <w:r>
        <w:rPr>
          <w:color w:val="2E75B6"/>
        </w:rPr>
        <w:t>【答案】</w:t>
      </w:r>
      <w:r>
        <w:rPr>
          <w:color w:val="000000"/>
        </w:rPr>
        <w:t>1. B    2. B</w:t>
      </w:r>
    </w:p>
    <w:p w14:paraId="6BDE4E08">
      <w:pPr>
        <w:spacing w:line="360" w:lineRule="auto"/>
        <w:textAlignment w:val="center"/>
        <w:rPr>
          <w:color w:val="000000"/>
        </w:rPr>
      </w:pPr>
      <w:r>
        <w:rPr>
          <w:color w:val="2E75B6"/>
        </w:rPr>
        <w:t>【解析】</w:t>
      </w:r>
    </w:p>
    <w:p w14:paraId="038DE510">
      <w:pPr>
        <w:spacing w:line="360" w:lineRule="auto"/>
        <w:textAlignment w:val="center"/>
        <w:rPr>
          <w:color w:val="000000"/>
        </w:rPr>
      </w:pPr>
      <w:r>
        <w:rPr>
          <w:color w:val="000000"/>
        </w:rPr>
        <w:t>【1题详解】</w:t>
      </w:r>
    </w:p>
    <w:p w14:paraId="2AC7ACF6">
      <w:pPr>
        <w:spacing w:line="360" w:lineRule="auto"/>
        <w:jc w:val="left"/>
        <w:textAlignment w:val="center"/>
        <w:rPr>
          <w:color w:val="000000"/>
        </w:rPr>
      </w:pPr>
      <w:r>
        <w:rPr>
          <w:color w:val="000000"/>
        </w:rPr>
        <w:t>能源转型核心是依靠技术突破让新能源兼顾清洁、经济、安全，技术创新是实现模式转换的核心支撑，B正确。</w:t>
      </w:r>
    </w:p>
    <w:p w14:paraId="36995F00">
      <w:pPr>
        <w:spacing w:line="360" w:lineRule="auto"/>
        <w:jc w:val="left"/>
        <w:textAlignment w:val="center"/>
        <w:rPr>
          <w:color w:val="000000"/>
        </w:rPr>
      </w:pPr>
      <w:r>
        <w:rPr>
          <w:rFonts w:ascii="宋体" w:hAnsi="宋体" w:eastAsia="宋体" w:cs="宋体"/>
          <w:color w:val="000000"/>
        </w:rPr>
        <w:t>“</w:t>
      </w:r>
      <w:r>
        <w:rPr>
          <w:color w:val="000000"/>
        </w:rPr>
        <w:t>双碳</w:t>
      </w:r>
      <w:r>
        <w:rPr>
          <w:rFonts w:ascii="宋体" w:hAnsi="宋体" w:eastAsia="宋体" w:cs="宋体"/>
          <w:color w:val="000000"/>
        </w:rPr>
        <w:t>”</w:t>
      </w:r>
      <w:r>
        <w:rPr>
          <w:color w:val="000000"/>
        </w:rPr>
        <w:t>目标属于政策引领，是转型推力而非实现新能源三角的核心关键，A错误。</w:t>
      </w:r>
    </w:p>
    <w:p w14:paraId="6A43E8DE">
      <w:pPr>
        <w:spacing w:line="360" w:lineRule="auto"/>
        <w:jc w:val="left"/>
        <w:textAlignment w:val="center"/>
        <w:rPr>
          <w:color w:val="000000"/>
        </w:rPr>
      </w:pPr>
      <w:r>
        <w:rPr>
          <w:color w:val="000000"/>
        </w:rPr>
        <w:t>能源利用成本下降是技术创新带来的结果，并非根本驱动因素，C错误。</w:t>
      </w:r>
    </w:p>
    <w:p w14:paraId="055DF82A">
      <w:pPr>
        <w:spacing w:line="360" w:lineRule="auto"/>
        <w:jc w:val="left"/>
        <w:textAlignment w:val="center"/>
        <w:rPr>
          <w:color w:val="000000"/>
        </w:rPr>
      </w:pPr>
      <w:r>
        <w:rPr>
          <w:color w:val="000000"/>
        </w:rPr>
        <w:t>能源安全需求是转型的外部动力，无法直接突破化石能源的固有局限，D错误。</w:t>
      </w:r>
    </w:p>
    <w:p w14:paraId="561F519A">
      <w:pPr>
        <w:spacing w:line="360" w:lineRule="auto"/>
        <w:jc w:val="left"/>
        <w:textAlignment w:val="center"/>
        <w:rPr>
          <w:color w:val="000000"/>
        </w:rPr>
      </w:pPr>
      <w:r>
        <w:rPr>
          <w:color w:val="000000"/>
        </w:rPr>
        <w:t>【2题详解】</w:t>
      </w:r>
    </w:p>
    <w:p w14:paraId="206DC6F9">
      <w:pPr>
        <w:spacing w:line="360" w:lineRule="auto"/>
        <w:jc w:val="left"/>
        <w:textAlignment w:val="center"/>
        <w:rPr>
          <w:color w:val="000000"/>
        </w:rPr>
      </w:pPr>
      <w:r>
        <w:rPr>
          <w:color w:val="000000"/>
        </w:rPr>
        <w:t>大力发展新能源，风能、太阳能、水能等多元能源并行，促进能源消费结构多元化，①正确。</w:t>
      </w:r>
    </w:p>
    <w:p w14:paraId="3545E58A">
      <w:pPr>
        <w:spacing w:line="360" w:lineRule="auto"/>
        <w:jc w:val="left"/>
        <w:textAlignment w:val="center"/>
        <w:rPr>
          <w:color w:val="000000"/>
        </w:rPr>
      </w:pPr>
      <w:r>
        <w:rPr>
          <w:color w:val="000000"/>
        </w:rPr>
        <w:t>化石能源自然禀赋是地质历史形成的资源储量分布，能源转型无法改变资源天然储量格局，②错误。</w:t>
      </w:r>
    </w:p>
    <w:p w14:paraId="1977148E">
      <w:pPr>
        <w:spacing w:line="360" w:lineRule="auto"/>
        <w:jc w:val="left"/>
        <w:textAlignment w:val="center"/>
        <w:rPr>
          <w:color w:val="000000"/>
        </w:rPr>
      </w:pPr>
      <w:r>
        <w:rPr>
          <w:color w:val="000000"/>
        </w:rPr>
        <w:t>新能源规模化应用会持续推进高精尖技术研发，抬高而非降低研发技术门槛，③错误。</w:t>
      </w:r>
    </w:p>
    <w:p w14:paraId="4ECA1F0E">
      <w:pPr>
        <w:spacing w:line="360" w:lineRule="auto"/>
        <w:jc w:val="left"/>
        <w:textAlignment w:val="center"/>
        <w:rPr>
          <w:color w:val="000000"/>
        </w:rPr>
      </w:pPr>
      <w:r>
        <w:rPr>
          <w:color w:val="000000"/>
        </w:rPr>
        <w:t>新能源自给为主，减少海外油气进口，降低对进口化石能源依赖，④正确。</w:t>
      </w:r>
    </w:p>
    <w:p w14:paraId="1F72D454">
      <w:pPr>
        <w:spacing w:line="360" w:lineRule="auto"/>
        <w:ind w:firstLine="420"/>
        <w:jc w:val="both"/>
        <w:textAlignment w:val="center"/>
        <w:rPr>
          <w:color w:val="000000"/>
        </w:rPr>
      </w:pPr>
      <w:r>
        <w:rPr>
          <w:rFonts w:ascii="楷体" w:hAnsi="楷体" w:eastAsia="楷体" w:cs="楷体"/>
          <w:color w:val="000000"/>
        </w:rPr>
        <w:t>图</w:t>
      </w:r>
      <w:r>
        <w:rPr>
          <w:rFonts w:ascii="Times New Roman" w:hAnsi="Times New Roman" w:eastAsia="Times New Roman" w:cs="Times New Roman"/>
          <w:color w:val="000000"/>
        </w:rPr>
        <w:t>a</w:t>
      </w:r>
      <w:r>
        <w:rPr>
          <w:rFonts w:ascii="楷体" w:hAnsi="楷体" w:eastAsia="楷体" w:cs="楷体"/>
          <w:color w:val="000000"/>
        </w:rPr>
        <w:t>示意北京市昌平气象站位置及周边地形；图</w:t>
      </w:r>
      <w:r>
        <w:rPr>
          <w:rFonts w:ascii="Times New Roman" w:hAnsi="Times New Roman" w:eastAsia="Times New Roman" w:cs="Times New Roman"/>
          <w:color w:val="000000"/>
        </w:rPr>
        <w:t>b</w:t>
      </w:r>
      <w:r>
        <w:rPr>
          <w:rFonts w:ascii="楷体" w:hAnsi="楷体" w:eastAsia="楷体" w:cs="楷体"/>
          <w:color w:val="000000"/>
        </w:rPr>
        <w:t>反映</w:t>
      </w:r>
      <w:r>
        <w:rPr>
          <w:rFonts w:ascii="Times New Roman" w:hAnsi="Times New Roman" w:eastAsia="Times New Roman" w:cs="Times New Roman"/>
          <w:color w:val="000000"/>
        </w:rPr>
        <w:t>2015</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日该站所测气象要素变化。据此完成下面小题。</w:t>
      </w:r>
    </w:p>
    <w:p w14:paraId="7AA0ED0D">
      <w:pPr>
        <w:spacing w:line="360" w:lineRule="auto"/>
        <w:jc w:val="both"/>
        <w:textAlignment w:val="center"/>
        <w:rPr>
          <w:color w:val="000000"/>
        </w:rPr>
      </w:pPr>
      <w:r>
        <w:rPr>
          <w:color w:val="000000"/>
        </w:rPr>
        <w:drawing>
          <wp:inline distT="0" distB="0" distL="114300" distR="114300">
            <wp:extent cx="2705100" cy="2324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2705100" cy="2324100"/>
                    </a:xfrm>
                    <a:prstGeom prst="rect">
                      <a:avLst/>
                    </a:prstGeom>
                  </pic:spPr>
                </pic:pic>
              </a:graphicData>
            </a:graphic>
          </wp:inline>
        </w:drawing>
      </w:r>
      <w:r>
        <w:rPr>
          <w:color w:val="000000"/>
        </w:rPr>
        <w:t xml:space="preserve">  </w:t>
      </w:r>
      <w:r>
        <w:rPr>
          <w:color w:val="000000"/>
        </w:rPr>
        <w:drawing>
          <wp:inline distT="0" distB="0" distL="114300" distR="114300">
            <wp:extent cx="3152775" cy="2400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3152775" cy="2400300"/>
                    </a:xfrm>
                    <a:prstGeom prst="rect">
                      <a:avLst/>
                    </a:prstGeom>
                  </pic:spPr>
                </pic:pic>
              </a:graphicData>
            </a:graphic>
          </wp:inline>
        </w:drawing>
      </w:r>
    </w:p>
    <w:p w14:paraId="6897E3BB">
      <w:pPr>
        <w:spacing w:line="360" w:lineRule="auto"/>
        <w:jc w:val="left"/>
        <w:textAlignment w:val="center"/>
        <w:rPr>
          <w:color w:val="000000"/>
        </w:rPr>
      </w:pPr>
      <w:r>
        <w:rPr>
          <w:color w:val="000000"/>
        </w:rPr>
        <w:t xml:space="preserve">3. </w:t>
      </w:r>
      <w:r>
        <w:rPr>
          <w:rFonts w:ascii="宋体" w:hAnsi="宋体" w:eastAsia="宋体" w:cs="宋体"/>
          <w:color w:val="000000"/>
        </w:rPr>
        <w:t>据上图判断，该日</w:t>
      </w:r>
      <w:r>
        <w:rPr>
          <w:rFonts w:ascii="Times New Roman" w:hAnsi="Times New Roman" w:eastAsia="Times New Roman" w:cs="Times New Roman"/>
          <w:color w:val="000000"/>
        </w:rPr>
        <w:t>4—8</w:t>
      </w:r>
      <w:r>
        <w:rPr>
          <w:rFonts w:ascii="宋体" w:hAnsi="宋体" w:eastAsia="宋体" w:cs="宋体"/>
          <w:color w:val="000000"/>
        </w:rPr>
        <w:t>时昌平气象站所在地经历的最显著天气过程是（</w:t>
      </w:r>
      <w:r>
        <w:rPr>
          <w:rFonts w:ascii="Times New Roman" w:hAnsi="Times New Roman" w:eastAsia="Times New Roman" w:cs="Times New Roman"/>
          <w:color w:val="000000"/>
        </w:rPr>
        <w:t xml:space="preserve">   </w:t>
      </w:r>
      <w:r>
        <w:rPr>
          <w:rFonts w:ascii="宋体" w:hAnsi="宋体" w:eastAsia="宋体" w:cs="宋体"/>
          <w:color w:val="000000"/>
        </w:rPr>
        <w:t>）</w:t>
      </w:r>
    </w:p>
    <w:p w14:paraId="2A6FC4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寒潮入侵</w:t>
      </w:r>
      <w:r>
        <w:rPr>
          <w:color w:val="000000"/>
        </w:rPr>
        <w:tab/>
      </w:r>
      <w:r>
        <w:rPr>
          <w:color w:val="000000"/>
        </w:rPr>
        <w:t xml:space="preserve">B. </w:t>
      </w:r>
      <w:r>
        <w:rPr>
          <w:rFonts w:ascii="宋体" w:hAnsi="宋体" w:eastAsia="宋体" w:cs="宋体"/>
          <w:color w:val="000000"/>
        </w:rPr>
        <w:t>强沙尘暴掠过</w:t>
      </w:r>
      <w:r>
        <w:rPr>
          <w:color w:val="000000"/>
        </w:rPr>
        <w:tab/>
      </w:r>
      <w:r>
        <w:rPr>
          <w:color w:val="000000"/>
        </w:rPr>
        <w:t xml:space="preserve">C. </w:t>
      </w:r>
      <w:r>
        <w:rPr>
          <w:rFonts w:ascii="宋体" w:hAnsi="宋体" w:eastAsia="宋体" w:cs="宋体"/>
          <w:color w:val="000000"/>
        </w:rPr>
        <w:t>焚风过境</w:t>
      </w:r>
      <w:r>
        <w:rPr>
          <w:color w:val="000000"/>
        </w:rPr>
        <w:tab/>
      </w:r>
      <w:r>
        <w:rPr>
          <w:color w:val="000000"/>
        </w:rPr>
        <w:t xml:space="preserve">D. </w:t>
      </w:r>
      <w:r>
        <w:rPr>
          <w:rFonts w:ascii="宋体" w:hAnsi="宋体" w:eastAsia="宋体" w:cs="宋体"/>
          <w:color w:val="000000"/>
        </w:rPr>
        <w:t>温带气旋经过</w:t>
      </w:r>
    </w:p>
    <w:p w14:paraId="5C38E652">
      <w:pPr>
        <w:spacing w:line="360" w:lineRule="auto"/>
        <w:jc w:val="left"/>
        <w:textAlignment w:val="center"/>
        <w:rPr>
          <w:color w:val="000000"/>
        </w:rPr>
      </w:pPr>
      <w:r>
        <w:rPr>
          <w:color w:val="000000"/>
        </w:rPr>
        <w:t xml:space="preserve">4. </w:t>
      </w:r>
      <w:r>
        <w:rPr>
          <w:rFonts w:ascii="宋体" w:hAnsi="宋体" w:eastAsia="宋体" w:cs="宋体"/>
          <w:color w:val="000000"/>
        </w:rPr>
        <w:t>在图</w:t>
      </w:r>
      <w:r>
        <w:rPr>
          <w:rFonts w:ascii="Times New Roman" w:hAnsi="Times New Roman" w:eastAsia="Times New Roman" w:cs="Times New Roman"/>
          <w:color w:val="000000"/>
        </w:rPr>
        <w:t>b</w:t>
      </w:r>
      <w:r>
        <w:rPr>
          <w:rFonts w:ascii="宋体" w:hAnsi="宋体" w:eastAsia="宋体" w:cs="宋体"/>
          <w:color w:val="000000"/>
        </w:rPr>
        <w:t>所示四个阶段中（</w:t>
      </w:r>
      <w:r>
        <w:rPr>
          <w:rFonts w:ascii="Times New Roman" w:hAnsi="Times New Roman" w:eastAsia="Times New Roman" w:cs="Times New Roman"/>
          <w:color w:val="000000"/>
        </w:rPr>
        <w:t xml:space="preserve">   </w:t>
      </w:r>
      <w:r>
        <w:rPr>
          <w:rFonts w:ascii="宋体" w:hAnsi="宋体" w:eastAsia="宋体" w:cs="宋体"/>
          <w:color w:val="000000"/>
        </w:rPr>
        <w:t>）</w:t>
      </w:r>
    </w:p>
    <w:p w14:paraId="795BA5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阶段</w:t>
      </w:r>
      <w:r>
        <w:rPr>
          <w:rFonts w:ascii="Times New Roman" w:hAnsi="Times New Roman" w:eastAsia="Times New Roman" w:cs="Times New Roman"/>
          <w:color w:val="000000"/>
        </w:rPr>
        <w:t>Ⅰ</w:t>
      </w:r>
      <w:r>
        <w:rPr>
          <w:rFonts w:ascii="宋体" w:hAnsi="宋体" w:eastAsia="宋体" w:cs="宋体"/>
          <w:color w:val="000000"/>
        </w:rPr>
        <w:t>谷风风速最大，相对湿度最高</w:t>
      </w:r>
      <w:r>
        <w:rPr>
          <w:color w:val="000000"/>
        </w:rPr>
        <w:tab/>
      </w:r>
      <w:r>
        <w:rPr>
          <w:color w:val="000000"/>
        </w:rPr>
        <w:t xml:space="preserve">B. </w:t>
      </w:r>
      <w:r>
        <w:rPr>
          <w:rFonts w:ascii="宋体" w:hAnsi="宋体" w:eastAsia="宋体" w:cs="宋体"/>
          <w:color w:val="000000"/>
        </w:rPr>
        <w:t>阶段</w:t>
      </w:r>
      <w:r>
        <w:rPr>
          <w:rFonts w:ascii="Times New Roman" w:hAnsi="Times New Roman" w:eastAsia="Times New Roman" w:cs="Times New Roman"/>
          <w:color w:val="000000"/>
        </w:rPr>
        <w:t>Ⅱ</w:t>
      </w:r>
      <w:r>
        <w:rPr>
          <w:rFonts w:ascii="宋体" w:hAnsi="宋体" w:eastAsia="宋体" w:cs="宋体"/>
          <w:color w:val="000000"/>
        </w:rPr>
        <w:t>太阳辐射最强，气温变幅最大</w:t>
      </w:r>
    </w:p>
    <w:p w14:paraId="6B6120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阶段</w:t>
      </w:r>
      <w:r>
        <w:rPr>
          <w:rFonts w:ascii="Times New Roman" w:hAnsi="Times New Roman" w:eastAsia="Times New Roman" w:cs="Times New Roman"/>
          <w:color w:val="000000"/>
        </w:rPr>
        <w:t>Ⅲ</w:t>
      </w:r>
      <w:r>
        <w:rPr>
          <w:rFonts w:ascii="宋体" w:hAnsi="宋体" w:eastAsia="宋体" w:cs="宋体"/>
          <w:color w:val="000000"/>
        </w:rPr>
        <w:t>气温最高，地面长波辐射最强</w:t>
      </w:r>
      <w:r>
        <w:rPr>
          <w:color w:val="000000"/>
        </w:rPr>
        <w:tab/>
      </w:r>
      <w:r>
        <w:rPr>
          <w:color w:val="000000"/>
        </w:rPr>
        <w:t xml:space="preserve">D. </w:t>
      </w:r>
      <w:r>
        <w:rPr>
          <w:rFonts w:ascii="宋体" w:hAnsi="宋体" w:eastAsia="宋体" w:cs="宋体"/>
          <w:color w:val="000000"/>
        </w:rPr>
        <w:t>阶段</w:t>
      </w:r>
      <w:r>
        <w:rPr>
          <w:rFonts w:ascii="Times New Roman" w:hAnsi="Times New Roman" w:eastAsia="Times New Roman" w:cs="Times New Roman"/>
          <w:color w:val="000000"/>
        </w:rPr>
        <w:t>Ⅳ</w:t>
      </w:r>
      <w:r>
        <w:rPr>
          <w:rFonts w:ascii="宋体" w:hAnsi="宋体" w:eastAsia="宋体" w:cs="宋体"/>
          <w:color w:val="000000"/>
        </w:rPr>
        <w:t>风向变化最大，海风影响最强</w:t>
      </w:r>
    </w:p>
    <w:p w14:paraId="1D3FF5EC">
      <w:pPr>
        <w:spacing w:line="360" w:lineRule="auto"/>
        <w:textAlignment w:val="center"/>
        <w:rPr>
          <w:color w:val="000000"/>
        </w:rPr>
      </w:pPr>
      <w:r>
        <w:rPr>
          <w:color w:val="2E75B6"/>
        </w:rPr>
        <w:t>【答案】</w:t>
      </w:r>
      <w:r>
        <w:rPr>
          <w:color w:val="000000"/>
        </w:rPr>
        <w:t>3. C    4. C</w:t>
      </w:r>
    </w:p>
    <w:p w14:paraId="47A7EB8C">
      <w:pPr>
        <w:spacing w:line="360" w:lineRule="auto"/>
        <w:textAlignment w:val="center"/>
        <w:rPr>
          <w:color w:val="000000"/>
        </w:rPr>
      </w:pPr>
      <w:r>
        <w:rPr>
          <w:color w:val="2E75B6"/>
        </w:rPr>
        <w:t>【解析】</w:t>
      </w:r>
    </w:p>
    <w:p w14:paraId="0189C5DD">
      <w:pPr>
        <w:spacing w:line="360" w:lineRule="auto"/>
        <w:textAlignment w:val="center"/>
        <w:rPr>
          <w:color w:val="000000"/>
        </w:rPr>
      </w:pPr>
      <w:r>
        <w:rPr>
          <w:color w:val="000000"/>
        </w:rPr>
        <w:t>【3题详解】</w:t>
      </w:r>
    </w:p>
    <w:p w14:paraId="2C975C0E">
      <w:pPr>
        <w:spacing w:line="360" w:lineRule="auto"/>
        <w:jc w:val="left"/>
        <w:textAlignment w:val="center"/>
        <w:rPr>
          <w:color w:val="000000"/>
        </w:rPr>
      </w:pPr>
      <w:r>
        <w:rPr>
          <w:color w:val="000000"/>
        </w:rPr>
        <w:t>从图b可知，4-8时昌平气象站气温快速升高，相对湿度显著下降，呈现干热特征：寒潮入侵带来降温，不符合气温升高的特征，A错误；</w:t>
      </w:r>
    </w:p>
    <w:p w14:paraId="156F846A">
      <w:pPr>
        <w:spacing w:line="360" w:lineRule="auto"/>
        <w:jc w:val="left"/>
        <w:textAlignment w:val="center"/>
        <w:rPr>
          <w:color w:val="000000"/>
        </w:rPr>
      </w:pPr>
      <w:r>
        <w:rPr>
          <w:color w:val="000000"/>
        </w:rPr>
        <w:t>强沙尘暴多伴随冷空气活动，不会出现明显骤增温，B错误；</w:t>
      </w:r>
    </w:p>
    <w:p w14:paraId="2E89F186">
      <w:pPr>
        <w:spacing w:line="360" w:lineRule="auto"/>
        <w:jc w:val="left"/>
        <w:textAlignment w:val="center"/>
        <w:rPr>
          <w:color w:val="000000"/>
        </w:rPr>
      </w:pPr>
      <w:r>
        <w:rPr>
          <w:color w:val="000000"/>
        </w:rPr>
        <w:t>焚风是气流越过山地后下沉增温减湿的天气，符合气温骤升、湿度骤降的特征，且昌平北、西靠山地，具备焚风形成的地形条件，C正确；</w:t>
      </w:r>
    </w:p>
    <w:p w14:paraId="479D7AA9">
      <w:pPr>
        <w:spacing w:line="360" w:lineRule="auto"/>
        <w:jc w:val="left"/>
        <w:textAlignment w:val="center"/>
        <w:rPr>
          <w:color w:val="000000"/>
        </w:rPr>
      </w:pPr>
      <w:r>
        <w:rPr>
          <w:color w:val="000000"/>
        </w:rPr>
        <w:t>温带气旋过境多伴随降水，湿度上升，不符合特征，D错误。</w:t>
      </w:r>
    </w:p>
    <w:p w14:paraId="2DA03385">
      <w:pPr>
        <w:spacing w:line="360" w:lineRule="auto"/>
        <w:jc w:val="left"/>
        <w:textAlignment w:val="center"/>
        <w:rPr>
          <w:color w:val="000000"/>
        </w:rPr>
      </w:pPr>
      <w:r>
        <w:rPr>
          <w:color w:val="000000"/>
        </w:rPr>
        <w:t>【4题详解】</w:t>
      </w:r>
    </w:p>
    <w:p w14:paraId="3CE6967F">
      <w:pPr>
        <w:spacing w:line="360" w:lineRule="auto"/>
        <w:jc w:val="left"/>
        <w:textAlignment w:val="center"/>
        <w:rPr>
          <w:color w:val="000000"/>
        </w:rPr>
      </w:pPr>
      <w:r>
        <w:rPr>
          <w:color w:val="000000"/>
        </w:rPr>
        <w:t>阶段Ⅰ为凌晨（0-4时），夜晚山坡冷却，吹山风不是谷风，且该阶段风速远小于阶段Ⅱ，A错误；</w:t>
      </w:r>
    </w:p>
    <w:p w14:paraId="59355474">
      <w:pPr>
        <w:spacing w:line="360" w:lineRule="auto"/>
        <w:jc w:val="left"/>
        <w:textAlignment w:val="center"/>
        <w:rPr>
          <w:color w:val="000000"/>
        </w:rPr>
      </w:pPr>
      <w:r>
        <w:rPr>
          <w:color w:val="000000"/>
        </w:rPr>
        <w:t>一天中太阳辐射最强出现在正午，属于阶段Ⅲ，阶段Ⅱ（4-8时）为清晨，太阳辐射弱，B错误；</w:t>
      </w:r>
    </w:p>
    <w:p w14:paraId="315EAD57">
      <w:pPr>
        <w:spacing w:line="360" w:lineRule="auto"/>
        <w:jc w:val="left"/>
        <w:textAlignment w:val="center"/>
        <w:rPr>
          <w:color w:val="000000"/>
        </w:rPr>
      </w:pPr>
      <w:r>
        <w:rPr>
          <w:color w:val="000000"/>
        </w:rPr>
        <w:t>从气温曲线可见，阶段Ⅲ气温达到一天最高，地面长波辐射强度与地面温度正相关，温度越高地面长波辐射越强，C正确；</w:t>
      </w:r>
    </w:p>
    <w:p w14:paraId="72D7A279">
      <w:pPr>
        <w:spacing w:line="360" w:lineRule="auto"/>
        <w:jc w:val="left"/>
        <w:textAlignment w:val="center"/>
        <w:rPr>
          <w:color w:val="000000"/>
        </w:rPr>
      </w:pPr>
      <w:r>
        <w:rPr>
          <w:color w:val="000000"/>
        </w:rPr>
        <w:t>该地位于北京内陆，不临海，不存在海风影响；且风向变化最大的是4-8时的阶段Ⅱ，D错误。</w:t>
      </w:r>
    </w:p>
    <w:p w14:paraId="4B0D8413">
      <w:pPr>
        <w:spacing w:line="360" w:lineRule="auto"/>
        <w:ind w:firstLine="420"/>
        <w:jc w:val="both"/>
        <w:textAlignment w:val="center"/>
        <w:rPr>
          <w:color w:val="000000"/>
        </w:rPr>
      </w:pPr>
      <w:r>
        <w:rPr>
          <w:rFonts w:ascii="楷体" w:hAnsi="楷体" w:eastAsia="楷体" w:cs="楷体"/>
          <w:color w:val="000000"/>
        </w:rPr>
        <w:t>基于人口规模、经济产业、交通成本等要素综合计算出的城镇间空间联系强度，能反映城镇的综合实力及对外联系能力；城镇间人口通勤强度则反映两地实际人口流动联系的强弱。图</w:t>
      </w:r>
      <w:r>
        <w:rPr>
          <w:rFonts w:ascii="Times New Roman" w:hAnsi="Times New Roman" w:eastAsia="Times New Roman" w:cs="Times New Roman"/>
          <w:color w:val="000000"/>
        </w:rPr>
        <w:t>a</w:t>
      </w:r>
      <w:r>
        <w:rPr>
          <w:rFonts w:ascii="楷体" w:hAnsi="楷体" w:eastAsia="楷体" w:cs="楷体"/>
          <w:color w:val="000000"/>
        </w:rPr>
        <w:t>和图</w:t>
      </w:r>
      <w:r>
        <w:rPr>
          <w:rFonts w:ascii="Times New Roman" w:hAnsi="Times New Roman" w:eastAsia="Times New Roman" w:cs="Times New Roman"/>
          <w:color w:val="000000"/>
        </w:rPr>
        <w:t>b</w:t>
      </w:r>
      <w:r>
        <w:rPr>
          <w:rFonts w:ascii="楷体" w:hAnsi="楷体" w:eastAsia="楷体" w:cs="楷体"/>
          <w:color w:val="000000"/>
        </w:rPr>
        <w:t>分别示意</w:t>
      </w:r>
      <w:r>
        <w:rPr>
          <w:rFonts w:ascii="Times New Roman" w:hAnsi="Times New Roman" w:eastAsia="Times New Roman" w:cs="Times New Roman"/>
          <w:color w:val="000000"/>
        </w:rPr>
        <w:t>2020</w:t>
      </w:r>
      <w:r>
        <w:rPr>
          <w:rFonts w:ascii="楷体" w:hAnsi="楷体" w:eastAsia="楷体" w:cs="楷体"/>
          <w:color w:val="000000"/>
        </w:rPr>
        <w:t>年一段时间内天津市某区各镇街之间的空间联系强度和人口通勤强度的首位联系（某一镇街与其他所有镇街联系中强度最高的联系）分布。据此完成下面小题。</w:t>
      </w:r>
    </w:p>
    <w:p w14:paraId="5EC91C89">
      <w:pPr>
        <w:spacing w:line="360" w:lineRule="auto"/>
        <w:jc w:val="both"/>
        <w:textAlignment w:val="center"/>
        <w:rPr>
          <w:color w:val="000000"/>
        </w:rPr>
      </w:pPr>
      <w:r>
        <w:rPr>
          <w:color w:val="000000"/>
        </w:rPr>
        <w:drawing>
          <wp:inline distT="0" distB="0" distL="114300" distR="114300">
            <wp:extent cx="3124200" cy="2457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24200" cy="2457450"/>
                    </a:xfrm>
                    <a:prstGeom prst="rect">
                      <a:avLst/>
                    </a:prstGeom>
                  </pic:spPr>
                </pic:pic>
              </a:graphicData>
            </a:graphic>
          </wp:inline>
        </w:drawing>
      </w:r>
    </w:p>
    <w:p w14:paraId="7067113F">
      <w:pPr>
        <w:spacing w:line="360" w:lineRule="auto"/>
        <w:jc w:val="left"/>
        <w:textAlignment w:val="center"/>
        <w:rPr>
          <w:color w:val="000000"/>
        </w:rPr>
      </w:pPr>
      <w:r>
        <w:rPr>
          <w:color w:val="000000"/>
        </w:rPr>
        <w:t xml:space="preserve">5. </w:t>
      </w:r>
      <w:r>
        <w:rPr>
          <w:rFonts w:ascii="宋体" w:hAnsi="宋体" w:eastAsia="宋体" w:cs="宋体"/>
          <w:color w:val="000000"/>
        </w:rPr>
        <w:t>据图</w:t>
      </w:r>
      <w:r>
        <w:rPr>
          <w:rFonts w:ascii="Times New Roman" w:hAnsi="Times New Roman" w:eastAsia="Times New Roman" w:cs="Times New Roman"/>
          <w:color w:val="000000"/>
        </w:rPr>
        <w:t>a</w:t>
      </w:r>
      <w:r>
        <w:rPr>
          <w:rFonts w:ascii="宋体" w:hAnsi="宋体" w:eastAsia="宋体" w:cs="宋体"/>
          <w:color w:val="000000"/>
        </w:rPr>
        <w:t>可判断，该区镇街的（</w:t>
      </w:r>
      <w:r>
        <w:rPr>
          <w:rFonts w:ascii="Times New Roman" w:hAnsi="Times New Roman" w:eastAsia="Times New Roman" w:cs="Times New Roman"/>
          <w:color w:val="000000"/>
        </w:rPr>
        <w:t xml:space="preserve">   </w:t>
      </w:r>
      <w:r>
        <w:rPr>
          <w:rFonts w:ascii="宋体" w:hAnsi="宋体" w:eastAsia="宋体" w:cs="宋体"/>
          <w:color w:val="000000"/>
        </w:rPr>
        <w:t>）</w:t>
      </w:r>
    </w:p>
    <w:p w14:paraId="0EA754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城镇规模存在层级性</w:t>
      </w:r>
      <w:r>
        <w:rPr>
          <w:color w:val="000000"/>
        </w:rPr>
        <w:tab/>
      </w:r>
      <w:r>
        <w:rPr>
          <w:color w:val="000000"/>
        </w:rPr>
        <w:t xml:space="preserve">B. </w:t>
      </w:r>
      <w:r>
        <w:rPr>
          <w:rFonts w:ascii="宋体" w:hAnsi="宋体" w:eastAsia="宋体" w:cs="宋体"/>
          <w:color w:val="000000"/>
        </w:rPr>
        <w:t>服务范围和功能相同</w:t>
      </w:r>
    </w:p>
    <w:p w14:paraId="36A077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产业趋同且均衡发展</w:t>
      </w:r>
      <w:r>
        <w:rPr>
          <w:color w:val="000000"/>
        </w:rPr>
        <w:tab/>
      </w:r>
      <w:r>
        <w:rPr>
          <w:color w:val="000000"/>
        </w:rPr>
        <w:t xml:space="preserve">D. </w:t>
      </w:r>
      <w:r>
        <w:rPr>
          <w:rFonts w:ascii="宋体" w:hAnsi="宋体" w:eastAsia="宋体" w:cs="宋体"/>
          <w:color w:val="000000"/>
        </w:rPr>
        <w:t>交通网络缺乏互通性</w:t>
      </w:r>
    </w:p>
    <w:p w14:paraId="2A7C1FA6">
      <w:pPr>
        <w:spacing w:line="360" w:lineRule="auto"/>
        <w:jc w:val="left"/>
        <w:textAlignment w:val="center"/>
        <w:rPr>
          <w:color w:val="000000"/>
        </w:rPr>
      </w:pPr>
      <w:r>
        <w:rPr>
          <w:color w:val="000000"/>
        </w:rPr>
        <w:t xml:space="preserve">6. </w:t>
      </w:r>
      <w:r>
        <w:rPr>
          <w:rFonts w:ascii="宋体" w:hAnsi="宋体" w:eastAsia="宋体" w:cs="宋体"/>
          <w:color w:val="000000"/>
        </w:rPr>
        <w:t>上图信息表明，该区（</w:t>
      </w:r>
      <w:r>
        <w:rPr>
          <w:rFonts w:ascii="Times New Roman" w:hAnsi="Times New Roman" w:eastAsia="Times New Roman" w:cs="Times New Roman"/>
          <w:color w:val="000000"/>
        </w:rPr>
        <w:t xml:space="preserve">   </w:t>
      </w:r>
      <w:r>
        <w:rPr>
          <w:rFonts w:ascii="宋体" w:hAnsi="宋体" w:eastAsia="宋体" w:cs="宋体"/>
          <w:color w:val="000000"/>
        </w:rPr>
        <w:t>）</w:t>
      </w:r>
    </w:p>
    <w:p w14:paraId="3B4F99BC">
      <w:pPr>
        <w:spacing w:line="360" w:lineRule="auto"/>
        <w:jc w:val="left"/>
        <w:textAlignment w:val="center"/>
        <w:rPr>
          <w:color w:val="000000"/>
        </w:rPr>
      </w:pPr>
      <w:r>
        <w:rPr>
          <w:color w:val="000000"/>
        </w:rPr>
        <w:t xml:space="preserve">A. </w:t>
      </w:r>
      <w:r>
        <w:rPr>
          <w:rFonts w:ascii="宋体" w:hAnsi="宋体" w:eastAsia="宋体" w:cs="宋体"/>
          <w:color w:val="000000"/>
        </w:rPr>
        <w:t>其他镇街的人口通勤均与中心镇街有首位联系</w:t>
      </w:r>
    </w:p>
    <w:p w14:paraId="785AB217">
      <w:pPr>
        <w:spacing w:line="360" w:lineRule="auto"/>
        <w:jc w:val="left"/>
        <w:textAlignment w:val="center"/>
        <w:rPr>
          <w:color w:val="000000"/>
        </w:rPr>
      </w:pPr>
      <w:r>
        <w:rPr>
          <w:color w:val="000000"/>
        </w:rPr>
        <w:t xml:space="preserve">B. </w:t>
      </w:r>
      <w:r>
        <w:rPr>
          <w:rFonts w:ascii="宋体" w:hAnsi="宋体" w:eastAsia="宋体" w:cs="宋体"/>
          <w:color w:val="000000"/>
        </w:rPr>
        <w:t>中心镇街与其他镇街的通勤人口数量大致相等</w:t>
      </w:r>
    </w:p>
    <w:p w14:paraId="537387BE">
      <w:pPr>
        <w:spacing w:line="360" w:lineRule="auto"/>
        <w:jc w:val="left"/>
        <w:textAlignment w:val="center"/>
        <w:rPr>
          <w:color w:val="000000"/>
        </w:rPr>
      </w:pPr>
      <w:r>
        <w:rPr>
          <w:color w:val="000000"/>
        </w:rPr>
        <w:t xml:space="preserve">C. </w:t>
      </w:r>
      <w:r>
        <w:rPr>
          <w:rFonts w:ascii="宋体" w:hAnsi="宋体" w:eastAsia="宋体" w:cs="宋体"/>
          <w:color w:val="000000"/>
        </w:rPr>
        <w:t>各镇街间空间距离对通勤人口流动的影响不大</w:t>
      </w:r>
    </w:p>
    <w:p w14:paraId="633C9CB9">
      <w:pPr>
        <w:spacing w:line="360" w:lineRule="auto"/>
        <w:jc w:val="left"/>
        <w:textAlignment w:val="center"/>
        <w:rPr>
          <w:color w:val="000000"/>
        </w:rPr>
      </w:pPr>
      <w:r>
        <w:rPr>
          <w:color w:val="000000"/>
        </w:rPr>
        <w:t xml:space="preserve">D. </w:t>
      </w:r>
      <w:r>
        <w:rPr>
          <w:rFonts w:ascii="宋体" w:hAnsi="宋体" w:eastAsia="宋体" w:cs="宋体"/>
          <w:color w:val="000000"/>
        </w:rPr>
        <w:t>综合实力最强的镇街对通勤人口吸引并非最强</w:t>
      </w:r>
    </w:p>
    <w:p w14:paraId="7FDAD8DF">
      <w:pPr>
        <w:spacing w:line="360" w:lineRule="auto"/>
        <w:textAlignment w:val="center"/>
        <w:rPr>
          <w:color w:val="000000"/>
        </w:rPr>
      </w:pPr>
      <w:r>
        <w:rPr>
          <w:color w:val="2E75B6"/>
        </w:rPr>
        <w:t>【答案】</w:t>
      </w:r>
      <w:r>
        <w:rPr>
          <w:color w:val="000000"/>
        </w:rPr>
        <w:t>5. A    6. D</w:t>
      </w:r>
    </w:p>
    <w:p w14:paraId="2FBFA432">
      <w:pPr>
        <w:spacing w:line="360" w:lineRule="auto"/>
        <w:textAlignment w:val="center"/>
        <w:rPr>
          <w:color w:val="000000"/>
        </w:rPr>
      </w:pPr>
      <w:r>
        <w:rPr>
          <w:color w:val="2E75B6"/>
        </w:rPr>
        <w:t>【解析】</w:t>
      </w:r>
    </w:p>
    <w:p w14:paraId="2CA216D5">
      <w:pPr>
        <w:spacing w:line="360" w:lineRule="auto"/>
        <w:textAlignment w:val="center"/>
        <w:rPr>
          <w:color w:val="000000"/>
        </w:rPr>
      </w:pPr>
      <w:r>
        <w:rPr>
          <w:color w:val="000000"/>
        </w:rPr>
        <w:t>【5题详解】</w:t>
      </w:r>
    </w:p>
    <w:p w14:paraId="0C345E68">
      <w:pPr>
        <w:spacing w:line="360" w:lineRule="auto"/>
        <w:jc w:val="left"/>
        <w:textAlignment w:val="center"/>
        <w:rPr>
          <w:color w:val="000000"/>
        </w:rPr>
      </w:pPr>
      <w:r>
        <w:rPr>
          <w:rFonts w:ascii="宋体" w:hAnsi="宋体" w:eastAsia="宋体" w:cs="宋体"/>
          <w:color w:val="000000"/>
        </w:rPr>
        <w:t>图a为空间联系强度，由人口规模、经济产业、交通成本等要素综合计算，代表城镇综合实力。图中所有镇街的首位联系全部汇聚到同一个核心镇街，说明核心镇街综合实力远高于周边，镇街之间人口、经济规模差异明显，城镇规模存在清晰层级性，A正确。</w:t>
      </w:r>
    </w:p>
    <w:p w14:paraId="62826859">
      <w:pPr>
        <w:spacing w:line="360" w:lineRule="auto"/>
        <w:jc w:val="left"/>
        <w:textAlignment w:val="center"/>
        <w:rPr>
          <w:color w:val="000000"/>
        </w:rPr>
      </w:pPr>
      <w:r>
        <w:rPr>
          <w:rFonts w:ascii="宋体" w:hAnsi="宋体" w:eastAsia="宋体" w:cs="宋体"/>
          <w:color w:val="000000"/>
        </w:rPr>
        <w:t>核心镇街综合实力强，服务范围更大、功能更完善，各镇街服务范围与功能不同，B错误；</w:t>
      </w:r>
    </w:p>
    <w:p w14:paraId="37332FC9">
      <w:pPr>
        <w:spacing w:line="360" w:lineRule="auto"/>
        <w:jc w:val="left"/>
        <w:textAlignment w:val="center"/>
        <w:rPr>
          <w:color w:val="000000"/>
        </w:rPr>
      </w:pPr>
      <w:r>
        <w:rPr>
          <w:rFonts w:ascii="宋体" w:hAnsi="宋体" w:eastAsia="宋体" w:cs="宋体"/>
          <w:color w:val="000000"/>
        </w:rPr>
        <w:t>核心镇街产业集聚优势突出，发展不均衡，产业不会趋同均衡，C错误；</w:t>
      </w:r>
    </w:p>
    <w:p w14:paraId="7926A679">
      <w:pPr>
        <w:spacing w:line="360" w:lineRule="auto"/>
        <w:jc w:val="left"/>
        <w:textAlignment w:val="center"/>
        <w:rPr>
          <w:color w:val="000000"/>
        </w:rPr>
      </w:pPr>
      <w:r>
        <w:rPr>
          <w:rFonts w:ascii="宋体" w:hAnsi="宋体" w:eastAsia="宋体" w:cs="宋体"/>
          <w:color w:val="000000"/>
        </w:rPr>
        <w:t>各镇街均能与核心镇街建立紧密首位联系，交通网络互通性较好，D错误。</w:t>
      </w:r>
    </w:p>
    <w:p w14:paraId="43C0579F">
      <w:pPr>
        <w:spacing w:line="360" w:lineRule="auto"/>
        <w:jc w:val="left"/>
        <w:textAlignment w:val="center"/>
        <w:rPr>
          <w:color w:val="000000"/>
        </w:rPr>
      </w:pPr>
      <w:r>
        <w:rPr>
          <w:color w:val="000000"/>
        </w:rPr>
        <w:t>【6题详解】</w:t>
      </w:r>
    </w:p>
    <w:p w14:paraId="62E24362">
      <w:pPr>
        <w:spacing w:line="360" w:lineRule="auto"/>
        <w:jc w:val="left"/>
        <w:textAlignment w:val="center"/>
        <w:rPr>
          <w:color w:val="000000"/>
        </w:rPr>
      </w:pPr>
      <w:r>
        <w:rPr>
          <w:rFonts w:ascii="宋体" w:hAnsi="宋体" w:eastAsia="宋体" w:cs="宋体"/>
          <w:color w:val="000000"/>
        </w:rPr>
        <w:t>空间联系强度=综合实力；人口通勤强度=实际人口流动吸引力。</w:t>
      </w:r>
    </w:p>
    <w:p w14:paraId="382CAA52">
      <w:pPr>
        <w:spacing w:line="360" w:lineRule="auto"/>
        <w:jc w:val="left"/>
        <w:textAlignment w:val="center"/>
        <w:rPr>
          <w:color w:val="000000"/>
        </w:rPr>
      </w:pPr>
      <w:r>
        <w:rPr>
          <w:rFonts w:ascii="宋体" w:hAnsi="宋体" w:eastAsia="宋体" w:cs="宋体"/>
          <w:color w:val="000000"/>
        </w:rPr>
        <w:t>图b存在部分镇街首位通勤联系不是中心镇街，“均与中心镇街”表述绝对，A错误；</w:t>
      </w:r>
    </w:p>
    <w:p w14:paraId="5038A6D5">
      <w:pPr>
        <w:spacing w:line="360" w:lineRule="auto"/>
        <w:jc w:val="left"/>
        <w:textAlignment w:val="center"/>
        <w:rPr>
          <w:color w:val="000000"/>
        </w:rPr>
      </w:pPr>
      <w:r>
        <w:rPr>
          <w:rFonts w:ascii="宋体" w:hAnsi="宋体" w:eastAsia="宋体" w:cs="宋体"/>
          <w:color w:val="000000"/>
        </w:rPr>
        <w:t>线条仅代表联系强度排名，无法体现通勤人口数量多少，不能判断数量大致相等，B错误；</w:t>
      </w:r>
    </w:p>
    <w:p w14:paraId="6DAC1B4E">
      <w:pPr>
        <w:spacing w:line="360" w:lineRule="auto"/>
        <w:jc w:val="left"/>
        <w:textAlignment w:val="center"/>
        <w:rPr>
          <w:color w:val="000000"/>
        </w:rPr>
      </w:pPr>
      <w:r>
        <w:rPr>
          <w:rFonts w:ascii="宋体" w:hAnsi="宋体" w:eastAsia="宋体" w:cs="宋体"/>
          <w:color w:val="000000"/>
        </w:rPr>
        <w:t>距离核心镇街近的镇街大多以核心为首位通勤联系，空间距离明显影响人口流动，C错误；</w:t>
      </w:r>
    </w:p>
    <w:p w14:paraId="3693A747">
      <w:pPr>
        <w:spacing w:line="360" w:lineRule="auto"/>
        <w:jc w:val="left"/>
        <w:textAlignment w:val="center"/>
        <w:rPr>
          <w:color w:val="000000"/>
        </w:rPr>
      </w:pPr>
      <w:r>
        <w:rPr>
          <w:rFonts w:ascii="宋体" w:hAnsi="宋体" w:eastAsia="宋体" w:cs="宋体"/>
          <w:color w:val="000000"/>
        </w:rPr>
        <w:t>图a核心镇街综合实力最强，但图b通勤首位联系并非全部指向它，说明综合实力最强的镇街对通勤人口的吸引力并非全区最强，D正确。</w:t>
      </w:r>
    </w:p>
    <w:p w14:paraId="4F73FEF2">
      <w:pPr>
        <w:spacing w:line="360" w:lineRule="auto"/>
        <w:ind w:firstLine="420"/>
        <w:jc w:val="both"/>
        <w:textAlignment w:val="center"/>
        <w:rPr>
          <w:color w:val="000000"/>
        </w:rPr>
      </w:pPr>
      <w:r>
        <w:rPr>
          <w:rFonts w:ascii="楷体" w:hAnsi="楷体" w:eastAsia="楷体" w:cs="楷体"/>
          <w:color w:val="000000"/>
        </w:rPr>
        <w:t>下图反映</w:t>
      </w:r>
      <w:r>
        <w:rPr>
          <w:rFonts w:ascii="Times New Roman" w:hAnsi="Times New Roman" w:eastAsia="Times New Roman" w:cs="Times New Roman"/>
          <w:color w:val="000000"/>
        </w:rPr>
        <w:t>2010</w:t>
      </w:r>
      <w:r>
        <w:rPr>
          <w:rFonts w:ascii="楷体" w:hAnsi="楷体" w:eastAsia="楷体" w:cs="楷体"/>
          <w:color w:val="000000"/>
        </w:rPr>
        <w:t>年和</w:t>
      </w:r>
      <w:r>
        <w:rPr>
          <w:rFonts w:ascii="Times New Roman" w:hAnsi="Times New Roman" w:eastAsia="Times New Roman" w:cs="Times New Roman"/>
          <w:color w:val="000000"/>
        </w:rPr>
        <w:t>2021</w:t>
      </w:r>
      <w:r>
        <w:rPr>
          <w:rFonts w:ascii="楷体" w:hAnsi="楷体" w:eastAsia="楷体" w:cs="楷体"/>
          <w:color w:val="000000"/>
        </w:rPr>
        <w:t>年河北省</w:t>
      </w:r>
      <w:r>
        <w:rPr>
          <w:rFonts w:ascii="Times New Roman" w:hAnsi="Times New Roman" w:eastAsia="Times New Roman" w:cs="Times New Roman"/>
          <w:color w:val="000000"/>
        </w:rPr>
        <w:t>H</w:t>
      </w:r>
      <w:r>
        <w:rPr>
          <w:rFonts w:ascii="楷体" w:hAnsi="楷体" w:eastAsia="楷体" w:cs="楷体"/>
          <w:color w:val="000000"/>
        </w:rPr>
        <w:t>市中心城区自火车站（位于市中心）向外</w:t>
      </w:r>
      <w:r>
        <w:rPr>
          <w:rFonts w:ascii="Times New Roman" w:hAnsi="Times New Roman" w:eastAsia="Times New Roman" w:cs="Times New Roman"/>
          <w:color w:val="000000"/>
        </w:rPr>
        <w:t>500m</w:t>
      </w:r>
      <w:r>
        <w:rPr>
          <w:rFonts w:ascii="楷体" w:hAnsi="楷体" w:eastAsia="楷体" w:cs="楷体"/>
          <w:color w:val="000000"/>
        </w:rPr>
        <w:t>间距的不同圈层的存量工业用地面积变化。据此完成下面小题。</w:t>
      </w:r>
    </w:p>
    <w:p w14:paraId="203F0BEF">
      <w:pPr>
        <w:spacing w:line="360" w:lineRule="auto"/>
        <w:jc w:val="both"/>
        <w:textAlignment w:val="center"/>
        <w:rPr>
          <w:color w:val="000000"/>
        </w:rPr>
      </w:pPr>
      <w:r>
        <w:rPr>
          <w:color w:val="000000"/>
        </w:rPr>
        <w:drawing>
          <wp:inline distT="0" distB="0" distL="114300" distR="114300">
            <wp:extent cx="1800225" cy="1409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800225" cy="1409700"/>
                    </a:xfrm>
                    <a:prstGeom prst="rect">
                      <a:avLst/>
                    </a:prstGeom>
                  </pic:spPr>
                </pic:pic>
              </a:graphicData>
            </a:graphic>
          </wp:inline>
        </w:drawing>
      </w:r>
    </w:p>
    <w:p w14:paraId="2E04B68A">
      <w:pPr>
        <w:spacing w:line="360" w:lineRule="auto"/>
        <w:jc w:val="left"/>
        <w:textAlignment w:val="center"/>
        <w:rPr>
          <w:color w:val="000000"/>
        </w:rPr>
      </w:pPr>
      <w:r>
        <w:rPr>
          <w:color w:val="000000"/>
        </w:rPr>
        <w:t xml:space="preserve">7. </w:t>
      </w:r>
      <w:r>
        <w:rPr>
          <w:rFonts w:ascii="宋体" w:hAnsi="宋体" w:eastAsia="宋体" w:cs="宋体"/>
          <w:color w:val="000000"/>
        </w:rPr>
        <w:t>上图显示，相较于</w:t>
      </w:r>
      <w:r>
        <w:rPr>
          <w:rFonts w:ascii="Times New Roman" w:hAnsi="Times New Roman" w:eastAsia="Times New Roman" w:cs="Times New Roman"/>
          <w:color w:val="000000"/>
        </w:rPr>
        <w:t>2010</w:t>
      </w:r>
      <w:r>
        <w:rPr>
          <w:rFonts w:ascii="宋体" w:hAnsi="宋体" w:eastAsia="宋体" w:cs="宋体"/>
          <w:color w:val="000000"/>
        </w:rPr>
        <w:t>年，</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2~4km</w:t>
      </w:r>
      <w:r>
        <w:rPr>
          <w:rFonts w:ascii="宋体" w:hAnsi="宋体" w:eastAsia="宋体" w:cs="宋体"/>
          <w:color w:val="000000"/>
        </w:rPr>
        <w:t>圈层存量工业用地面积发生变化，其最可能的原因是该圈层（</w:t>
      </w:r>
      <w:r>
        <w:rPr>
          <w:rFonts w:ascii="Times New Roman" w:hAnsi="Times New Roman" w:eastAsia="Times New Roman" w:cs="Times New Roman"/>
          <w:color w:val="000000"/>
        </w:rPr>
        <w:t xml:space="preserve">   </w:t>
      </w:r>
      <w:r>
        <w:rPr>
          <w:rFonts w:ascii="宋体" w:hAnsi="宋体" w:eastAsia="宋体" w:cs="宋体"/>
          <w:color w:val="000000"/>
        </w:rPr>
        <w:t>）</w:t>
      </w:r>
    </w:p>
    <w:p w14:paraId="237202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工业企业外迁，用地功能调整</w:t>
      </w:r>
      <w:r>
        <w:rPr>
          <w:color w:val="000000"/>
        </w:rPr>
        <w:tab/>
      </w:r>
      <w:r>
        <w:rPr>
          <w:color w:val="000000"/>
        </w:rPr>
        <w:t xml:space="preserve">B. </w:t>
      </w:r>
      <w:r>
        <w:rPr>
          <w:rFonts w:ascii="宋体" w:hAnsi="宋体" w:eastAsia="宋体" w:cs="宋体"/>
          <w:color w:val="000000"/>
        </w:rPr>
        <w:t>工业企业上楼，工业用地增加</w:t>
      </w:r>
    </w:p>
    <w:p w14:paraId="4916C1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城市人口外迁，用工规模减小</w:t>
      </w:r>
      <w:r>
        <w:rPr>
          <w:color w:val="000000"/>
        </w:rPr>
        <w:tab/>
      </w:r>
      <w:r>
        <w:rPr>
          <w:color w:val="000000"/>
        </w:rPr>
        <w:t xml:space="preserve">D. </w:t>
      </w:r>
      <w:r>
        <w:rPr>
          <w:rFonts w:ascii="宋体" w:hAnsi="宋体" w:eastAsia="宋体" w:cs="宋体"/>
          <w:color w:val="000000"/>
        </w:rPr>
        <w:t>工业厂房翻新，配套设施完善</w:t>
      </w:r>
    </w:p>
    <w:p w14:paraId="279DDB3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2010—2021</w:t>
      </w:r>
      <w:r>
        <w:rPr>
          <w:rFonts w:ascii="宋体" w:hAnsi="宋体" w:eastAsia="宋体" w:cs="宋体"/>
          <w:color w:val="000000"/>
        </w:rPr>
        <w:t>年，不同圈层存量工业用地面积变化给该市中心城区带来的整体影响是（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220FAD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逆城市化进程加速</w:t>
      </w:r>
      <w:r>
        <w:rPr>
          <w:color w:val="000000"/>
        </w:rPr>
        <w:tab/>
      </w:r>
      <w:r>
        <w:rPr>
          <w:color w:val="000000"/>
        </w:rPr>
        <w:t xml:space="preserve">B. </w:t>
      </w:r>
      <w:r>
        <w:rPr>
          <w:rFonts w:ascii="宋体" w:hAnsi="宋体" w:eastAsia="宋体" w:cs="宋体"/>
          <w:color w:val="000000"/>
        </w:rPr>
        <w:t>单位工业产值能耗增加</w:t>
      </w:r>
    </w:p>
    <w:p w14:paraId="7A7E177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利于产业结构升级</w:t>
      </w:r>
      <w:r>
        <w:rPr>
          <w:color w:val="000000"/>
        </w:rPr>
        <w:tab/>
      </w:r>
      <w:r>
        <w:rPr>
          <w:color w:val="000000"/>
        </w:rPr>
        <w:t xml:space="preserve">D. </w:t>
      </w:r>
      <w:r>
        <w:rPr>
          <w:rFonts w:ascii="宋体" w:hAnsi="宋体" w:eastAsia="宋体" w:cs="宋体"/>
          <w:color w:val="000000"/>
        </w:rPr>
        <w:t>中心城区地租水平降低</w:t>
      </w:r>
    </w:p>
    <w:p w14:paraId="0D3C1A54">
      <w:pPr>
        <w:spacing w:line="360" w:lineRule="auto"/>
        <w:textAlignment w:val="center"/>
        <w:rPr>
          <w:color w:val="000000"/>
        </w:rPr>
      </w:pPr>
      <w:r>
        <w:rPr>
          <w:color w:val="2E75B6"/>
        </w:rPr>
        <w:t>【答案】</w:t>
      </w:r>
      <w:r>
        <w:rPr>
          <w:color w:val="000000"/>
        </w:rPr>
        <w:t>7. A    8. C</w:t>
      </w:r>
    </w:p>
    <w:p w14:paraId="6923B8B3">
      <w:pPr>
        <w:spacing w:line="360" w:lineRule="auto"/>
        <w:textAlignment w:val="center"/>
        <w:rPr>
          <w:color w:val="000000"/>
        </w:rPr>
      </w:pPr>
      <w:r>
        <w:rPr>
          <w:color w:val="2E75B6"/>
        </w:rPr>
        <w:t>【解析】</w:t>
      </w:r>
    </w:p>
    <w:p w14:paraId="5793F5FE">
      <w:pPr>
        <w:spacing w:line="360" w:lineRule="auto"/>
        <w:textAlignment w:val="center"/>
        <w:rPr>
          <w:color w:val="000000"/>
        </w:rPr>
      </w:pPr>
      <w:r>
        <w:rPr>
          <w:color w:val="000000"/>
        </w:rPr>
        <w:t>【7题详解】</w:t>
      </w:r>
    </w:p>
    <w:p w14:paraId="228F0240">
      <w:pPr>
        <w:spacing w:line="360" w:lineRule="auto"/>
        <w:jc w:val="left"/>
        <w:textAlignment w:val="center"/>
        <w:rPr>
          <w:color w:val="000000"/>
        </w:rPr>
      </w:pPr>
      <w:r>
        <w:rPr>
          <w:color w:val="000000"/>
        </w:rPr>
        <w:t>从图中可知，相较于2010年，2021年2~4km靠近市中心的圈层存量工业用地面积减少。随着城市发展，中心城区地价上升，工业付租能力低于商业、居住，因此原有工业企业向外围搬迁，原工业用地调整为其他城市功能用地，导致存量工业用地减少，A正确；</w:t>
      </w:r>
    </w:p>
    <w:p w14:paraId="708DBEA4">
      <w:pPr>
        <w:spacing w:line="360" w:lineRule="auto"/>
        <w:jc w:val="left"/>
        <w:textAlignment w:val="center"/>
        <w:rPr>
          <w:color w:val="000000"/>
        </w:rPr>
      </w:pPr>
      <w:r>
        <w:rPr>
          <w:color w:val="000000"/>
        </w:rPr>
        <w:t>该圈层存量工业面积减少，与</w:t>
      </w:r>
      <w:r>
        <w:rPr>
          <w:rFonts w:ascii="宋体" w:hAnsi="宋体" w:eastAsia="宋体" w:cs="宋体"/>
          <w:color w:val="000000"/>
        </w:rPr>
        <w:t>“</w:t>
      </w:r>
      <w:r>
        <w:rPr>
          <w:color w:val="000000"/>
        </w:rPr>
        <w:t>工业用地增加</w:t>
      </w:r>
      <w:r>
        <w:rPr>
          <w:rFonts w:ascii="宋体" w:hAnsi="宋体" w:eastAsia="宋体" w:cs="宋体"/>
          <w:color w:val="000000"/>
        </w:rPr>
        <w:t>”</w:t>
      </w:r>
      <w:r>
        <w:rPr>
          <w:color w:val="000000"/>
        </w:rPr>
        <w:t>矛盾，B错误；</w:t>
      </w:r>
    </w:p>
    <w:p w14:paraId="09D2C99C">
      <w:pPr>
        <w:spacing w:line="360" w:lineRule="auto"/>
        <w:jc w:val="left"/>
        <w:textAlignment w:val="center"/>
        <w:rPr>
          <w:color w:val="000000"/>
        </w:rPr>
      </w:pPr>
      <w:r>
        <w:rPr>
          <w:color w:val="000000"/>
        </w:rPr>
        <w:t>我国当前该发展阶段，城市人口整体向中心城区集聚，没有大规模人口外迁，也不是工业用地减少的原因，C错误；</w:t>
      </w:r>
    </w:p>
    <w:p w14:paraId="3A5B3045">
      <w:pPr>
        <w:spacing w:line="360" w:lineRule="auto"/>
        <w:jc w:val="left"/>
        <w:textAlignment w:val="center"/>
        <w:rPr>
          <w:color w:val="000000"/>
        </w:rPr>
      </w:pPr>
      <w:r>
        <w:rPr>
          <w:color w:val="000000"/>
        </w:rPr>
        <w:t>工业厂房翻新仅改造原有建筑，不会改变存量工业用地的总面积，D错误。</w:t>
      </w:r>
      <w:r>
        <w:rPr>
          <w:color w:val="000000"/>
        </w:rPr>
        <w:tab/>
      </w:r>
    </w:p>
    <w:p w14:paraId="5733FD3E">
      <w:pPr>
        <w:spacing w:line="360" w:lineRule="auto"/>
        <w:jc w:val="left"/>
        <w:textAlignment w:val="center"/>
        <w:rPr>
          <w:color w:val="000000"/>
        </w:rPr>
      </w:pPr>
      <w:r>
        <w:rPr>
          <w:color w:val="000000"/>
        </w:rPr>
        <w:t>【8题详解】</w:t>
      </w:r>
    </w:p>
    <w:p w14:paraId="5E311CDB">
      <w:pPr>
        <w:spacing w:line="360" w:lineRule="auto"/>
        <w:jc w:val="left"/>
        <w:textAlignment w:val="center"/>
        <w:rPr>
          <w:color w:val="000000"/>
        </w:rPr>
      </w:pPr>
      <w:r>
        <w:rPr>
          <w:color w:val="000000"/>
        </w:rPr>
        <w:t>从整体变化来看，2010—2021年该城市工业由市中心附近的内圈层向城市外围圈层转移。中心城区腾出土地后，可以发展高端服务业、高新技术产业等高附加值产业，优化了城市产业布局，利于城市产业结构升级，C正确；</w:t>
      </w:r>
    </w:p>
    <w:p w14:paraId="464F9892">
      <w:pPr>
        <w:spacing w:line="360" w:lineRule="auto"/>
        <w:jc w:val="left"/>
        <w:textAlignment w:val="center"/>
        <w:rPr>
          <w:color w:val="000000"/>
        </w:rPr>
      </w:pPr>
      <w:r>
        <w:rPr>
          <w:color w:val="000000"/>
        </w:rPr>
        <w:t>我国目前仍处于城市化发展阶段，并未进入逆城市化加速阶段，工业向城市外围搬迁属于城市内部功能结构调整，不属于逆城市化，A错误；</w:t>
      </w:r>
    </w:p>
    <w:p w14:paraId="333A4740">
      <w:pPr>
        <w:spacing w:line="360" w:lineRule="auto"/>
        <w:jc w:val="left"/>
        <w:textAlignment w:val="center"/>
        <w:rPr>
          <w:color w:val="000000"/>
        </w:rPr>
      </w:pPr>
      <w:r>
        <w:rPr>
          <w:color w:val="000000"/>
        </w:rPr>
        <w:t>向外搬迁的多是传统高能耗工业，外迁后中心城区整体产业的单位工业产值能耗会下降，B错误；</w:t>
      </w:r>
    </w:p>
    <w:p w14:paraId="75473018">
      <w:pPr>
        <w:spacing w:line="360" w:lineRule="auto"/>
        <w:jc w:val="left"/>
        <w:textAlignment w:val="center"/>
        <w:rPr>
          <w:color w:val="000000"/>
        </w:rPr>
      </w:pPr>
      <w:r>
        <w:rPr>
          <w:color w:val="000000"/>
        </w:rPr>
        <w:t>中心城区调整为附加值更高的产业后，土地利用效率提升，地租水平会上升，D错误。</w:t>
      </w:r>
    </w:p>
    <w:p w14:paraId="2CB44959">
      <w:pPr>
        <w:spacing w:line="360" w:lineRule="auto"/>
        <w:ind w:firstLine="420"/>
        <w:jc w:val="both"/>
        <w:textAlignment w:val="center"/>
        <w:rPr>
          <w:color w:val="000000"/>
        </w:rPr>
      </w:pPr>
      <w:r>
        <w:rPr>
          <w:rFonts w:ascii="楷体" w:hAnsi="楷体" w:eastAsia="楷体" w:cs="楷体"/>
          <w:color w:val="000000"/>
        </w:rPr>
        <w:t>分水岭的迁移对自然地理环境有重要影响。某研学小组在考虑了降水、构造运动和岩性软硬差异三个影响分水岭迁移的关键因素后，绘出如下图所示四种分水岭迁移模式。据此完成下面小题。</w:t>
      </w:r>
    </w:p>
    <w:p w14:paraId="00895121">
      <w:pPr>
        <w:spacing w:line="360" w:lineRule="auto"/>
        <w:jc w:val="both"/>
        <w:textAlignment w:val="center"/>
        <w:rPr>
          <w:color w:val="000000"/>
        </w:rPr>
      </w:pPr>
      <w:r>
        <w:rPr>
          <w:color w:val="000000"/>
        </w:rPr>
        <w:drawing>
          <wp:inline distT="0" distB="0" distL="114300" distR="114300">
            <wp:extent cx="2752725" cy="2705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52725" cy="2705100"/>
                    </a:xfrm>
                    <a:prstGeom prst="rect">
                      <a:avLst/>
                    </a:prstGeom>
                  </pic:spPr>
                </pic:pic>
              </a:graphicData>
            </a:graphic>
          </wp:inline>
        </w:drawing>
      </w:r>
    </w:p>
    <w:p w14:paraId="5A322B8D">
      <w:pPr>
        <w:spacing w:line="360" w:lineRule="auto"/>
        <w:jc w:val="left"/>
        <w:textAlignment w:val="center"/>
        <w:rPr>
          <w:color w:val="000000"/>
        </w:rPr>
      </w:pPr>
      <w:r>
        <w:rPr>
          <w:color w:val="000000"/>
        </w:rPr>
        <w:t xml:space="preserve">9. </w:t>
      </w:r>
      <w:r>
        <w:rPr>
          <w:rFonts w:ascii="宋体" w:hAnsi="宋体" w:eastAsia="宋体" w:cs="宋体"/>
          <w:color w:val="000000"/>
        </w:rPr>
        <w:t>上图中，正确反映以侵蚀作用为主导的分水岭迁移模式是（</w:t>
      </w:r>
      <w:r>
        <w:rPr>
          <w:rFonts w:ascii="Times New Roman" w:hAnsi="Times New Roman" w:eastAsia="Times New Roman" w:cs="Times New Roman"/>
          <w:color w:val="000000"/>
        </w:rPr>
        <w:t xml:space="preserve">   </w:t>
      </w:r>
      <w:r>
        <w:rPr>
          <w:rFonts w:ascii="宋体" w:hAnsi="宋体" w:eastAsia="宋体" w:cs="宋体"/>
          <w:color w:val="000000"/>
        </w:rPr>
        <w:t>）</w:t>
      </w:r>
    </w:p>
    <w:p w14:paraId="1501E5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3B592391">
      <w:pPr>
        <w:spacing w:line="360" w:lineRule="auto"/>
        <w:jc w:val="left"/>
        <w:textAlignment w:val="center"/>
        <w:rPr>
          <w:color w:val="000000"/>
        </w:rPr>
      </w:pPr>
      <w:r>
        <w:rPr>
          <w:color w:val="000000"/>
        </w:rPr>
        <w:t xml:space="preserve">10. </w:t>
      </w:r>
      <w:r>
        <w:rPr>
          <w:rFonts w:ascii="宋体" w:hAnsi="宋体" w:eastAsia="宋体" w:cs="宋体"/>
          <w:color w:val="000000"/>
        </w:rPr>
        <w:t>丁模式所示分水岭的迁移可导致（</w:t>
      </w:r>
      <w:r>
        <w:rPr>
          <w:rFonts w:ascii="Times New Roman" w:hAnsi="Times New Roman" w:eastAsia="Times New Roman" w:cs="Times New Roman"/>
          <w:color w:val="000000"/>
        </w:rPr>
        <w:t xml:space="preserve">   </w:t>
      </w:r>
      <w:r>
        <w:rPr>
          <w:rFonts w:ascii="宋体" w:hAnsi="宋体" w:eastAsia="宋体" w:cs="宋体"/>
          <w:color w:val="000000"/>
        </w:rPr>
        <w:t>）</w:t>
      </w:r>
    </w:p>
    <w:p w14:paraId="6CAF8BDF">
      <w:pPr>
        <w:spacing w:line="360" w:lineRule="auto"/>
        <w:jc w:val="both"/>
        <w:textAlignment w:val="center"/>
        <w:rPr>
          <w:color w:val="000000"/>
        </w:rPr>
      </w:pPr>
      <w:r>
        <w:rPr>
          <w:rFonts w:ascii="宋体" w:hAnsi="宋体" w:eastAsia="宋体" w:cs="宋体"/>
          <w:color w:val="000000"/>
        </w:rPr>
        <w:t>①分水岭两侧水热空间分布调整</w:t>
      </w:r>
      <w:r>
        <w:rPr>
          <w:color w:val="000000"/>
        </w:rPr>
        <w:t xml:space="preserve">    </w:t>
      </w:r>
      <w:r>
        <w:rPr>
          <w:rFonts w:ascii="宋体" w:hAnsi="宋体" w:eastAsia="宋体" w:cs="宋体"/>
          <w:color w:val="000000"/>
        </w:rPr>
        <w:t>②扩张流域地表侵蚀强度减弱</w:t>
      </w:r>
    </w:p>
    <w:p w14:paraId="1DD329D8">
      <w:pPr>
        <w:spacing w:line="360" w:lineRule="auto"/>
        <w:jc w:val="both"/>
        <w:textAlignment w:val="center"/>
        <w:rPr>
          <w:color w:val="000000"/>
        </w:rPr>
      </w:pPr>
      <w:r>
        <w:rPr>
          <w:rFonts w:ascii="宋体" w:hAnsi="宋体" w:eastAsia="宋体" w:cs="宋体"/>
          <w:color w:val="000000"/>
        </w:rPr>
        <w:t>③分水岭两侧垂直带谱趋于简单</w:t>
      </w:r>
      <w:r>
        <w:rPr>
          <w:color w:val="000000"/>
        </w:rPr>
        <w:t xml:space="preserve">    </w:t>
      </w:r>
      <w:r>
        <w:rPr>
          <w:rFonts w:ascii="宋体" w:hAnsi="宋体" w:eastAsia="宋体" w:cs="宋体"/>
          <w:color w:val="000000"/>
        </w:rPr>
        <w:t>④萎缩流域的物种间竞争加强</w:t>
      </w:r>
    </w:p>
    <w:p w14:paraId="43031A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4D979A72">
      <w:pPr>
        <w:spacing w:line="360" w:lineRule="auto"/>
        <w:textAlignment w:val="center"/>
        <w:rPr>
          <w:color w:val="000000"/>
        </w:rPr>
      </w:pPr>
      <w:r>
        <w:rPr>
          <w:color w:val="2E75B6"/>
        </w:rPr>
        <w:t>【答案】</w:t>
      </w:r>
      <w:r>
        <w:rPr>
          <w:color w:val="000000"/>
        </w:rPr>
        <w:t>9. B    10. D</w:t>
      </w:r>
    </w:p>
    <w:p w14:paraId="6A929144">
      <w:pPr>
        <w:spacing w:line="360" w:lineRule="auto"/>
        <w:textAlignment w:val="center"/>
        <w:rPr>
          <w:color w:val="000000"/>
        </w:rPr>
      </w:pPr>
      <w:r>
        <w:rPr>
          <w:color w:val="2E75B6"/>
        </w:rPr>
        <w:t>【解析】</w:t>
      </w:r>
    </w:p>
    <w:p w14:paraId="31C406B6">
      <w:pPr>
        <w:spacing w:line="360" w:lineRule="auto"/>
        <w:textAlignment w:val="center"/>
        <w:rPr>
          <w:color w:val="000000"/>
        </w:rPr>
      </w:pPr>
      <w:r>
        <w:rPr>
          <w:color w:val="000000"/>
        </w:rPr>
        <w:t>【9题详解】</w:t>
      </w:r>
    </w:p>
    <w:p w14:paraId="73029A05">
      <w:pPr>
        <w:spacing w:line="360" w:lineRule="auto"/>
        <w:jc w:val="left"/>
        <w:textAlignment w:val="center"/>
        <w:rPr>
          <w:color w:val="000000"/>
        </w:rPr>
      </w:pPr>
      <w:r>
        <w:rPr>
          <w:color w:val="000000"/>
        </w:rPr>
        <w:t>侵蚀主导型分水岭迁移的核心逻辑：侵蚀能力更强的一侧会不断蚕食另一侧，推动分水岭向侵蚀能力更弱的一侧移动。侵蚀能力受降水、岩性影响：软岩比硬岩更易被侵蚀，降水更多的一侧径流量大，侵蚀能力更强。</w:t>
      </w:r>
    </w:p>
    <w:p w14:paraId="2F913ACD">
      <w:pPr>
        <w:spacing w:line="360" w:lineRule="auto"/>
        <w:jc w:val="left"/>
        <w:textAlignment w:val="center"/>
        <w:rPr>
          <w:color w:val="000000"/>
        </w:rPr>
      </w:pPr>
      <w:r>
        <w:rPr>
          <w:color w:val="000000"/>
        </w:rPr>
        <w:t>甲图中分水岭整体向左迁移，属于构造运动主导的水平移动，不存在一侧侵蚀优势，A错误；</w:t>
      </w:r>
    </w:p>
    <w:p w14:paraId="688944FF">
      <w:pPr>
        <w:spacing w:line="360" w:lineRule="auto"/>
        <w:jc w:val="left"/>
        <w:textAlignment w:val="center"/>
        <w:rPr>
          <w:color w:val="000000"/>
        </w:rPr>
      </w:pPr>
      <w:r>
        <w:rPr>
          <w:color w:val="000000"/>
        </w:rPr>
        <w:t>乙图中左侧整体为软岩，抗侵蚀能力弱，侵蚀作用更强，因此分水岭向抗侵蚀能力更强的右侧移动，与图示迁移模式吻合，B正确；</w:t>
      </w:r>
    </w:p>
    <w:p w14:paraId="5A32241C">
      <w:pPr>
        <w:spacing w:line="360" w:lineRule="auto"/>
        <w:jc w:val="left"/>
        <w:textAlignment w:val="center"/>
        <w:rPr>
          <w:color w:val="000000"/>
        </w:rPr>
      </w:pPr>
      <w:r>
        <w:rPr>
          <w:color w:val="000000"/>
        </w:rPr>
        <w:t>丙图存在明显不同软硬的岩性分区（不同填充纹理代表不同岩性），左侧岩性软，右侧岩性硬，左侧受侵蚀快，分水岭应向右侧迁移，但图中分水岭向左侧迁移，并非以侵蚀作用为主导，C错误；</w:t>
      </w:r>
    </w:p>
    <w:p w14:paraId="47ECCE82">
      <w:pPr>
        <w:spacing w:line="360" w:lineRule="auto"/>
        <w:jc w:val="left"/>
        <w:textAlignment w:val="center"/>
        <w:rPr>
          <w:color w:val="000000"/>
        </w:rPr>
      </w:pPr>
      <w:r>
        <w:rPr>
          <w:color w:val="000000"/>
        </w:rPr>
        <w:t>丁图下方标注了构造抬升箭头，属于构造运动主导的分水岭迁移，D错误。</w:t>
      </w:r>
    </w:p>
    <w:p w14:paraId="56F5DA22">
      <w:pPr>
        <w:spacing w:line="360" w:lineRule="auto"/>
        <w:jc w:val="left"/>
        <w:textAlignment w:val="center"/>
        <w:rPr>
          <w:color w:val="000000"/>
        </w:rPr>
      </w:pPr>
      <w:r>
        <w:rPr>
          <w:color w:val="000000"/>
        </w:rPr>
        <w:t>【10题详解】</w:t>
      </w:r>
    </w:p>
    <w:p w14:paraId="1891AB6E">
      <w:pPr>
        <w:spacing w:line="360" w:lineRule="auto"/>
        <w:jc w:val="left"/>
        <w:textAlignment w:val="center"/>
        <w:rPr>
          <w:color w:val="000000"/>
        </w:rPr>
      </w:pPr>
      <w:r>
        <w:rPr>
          <w:color w:val="000000"/>
        </w:rPr>
        <w:t>丁模式分水岭迁移后，会形成一侧流域扩张、一侧流域萎缩的结果，分水岭是流域的天然边界，迁移后流域范围、汇水格局改变，会推动两侧水热空间分布重新调整，①正确；</w:t>
      </w:r>
    </w:p>
    <w:p w14:paraId="0E7D18BD">
      <w:pPr>
        <w:spacing w:line="360" w:lineRule="auto"/>
        <w:jc w:val="left"/>
        <w:textAlignment w:val="center"/>
        <w:rPr>
          <w:color w:val="000000"/>
        </w:rPr>
      </w:pPr>
      <w:r>
        <w:rPr>
          <w:color w:val="000000"/>
        </w:rPr>
        <w:t>扩张流域汇水面积增大，径流量增加，河流侵蚀能力增强，地表侵蚀强度会升高，②错误；</w:t>
      </w:r>
    </w:p>
    <w:p w14:paraId="62F55F06">
      <w:pPr>
        <w:spacing w:line="360" w:lineRule="auto"/>
        <w:jc w:val="left"/>
        <w:textAlignment w:val="center"/>
        <w:rPr>
          <w:color w:val="000000"/>
        </w:rPr>
      </w:pPr>
      <w:r>
        <w:rPr>
          <w:color w:val="000000"/>
        </w:rPr>
        <w:t>流域一扩一缩，地形高差、流域范围变化，垂直带谱会更复杂，不会趋于简单，③错误；</w:t>
      </w:r>
    </w:p>
    <w:p w14:paraId="483F684A">
      <w:pPr>
        <w:spacing w:line="360" w:lineRule="auto"/>
        <w:jc w:val="left"/>
        <w:textAlignment w:val="center"/>
        <w:rPr>
          <w:color w:val="000000"/>
        </w:rPr>
      </w:pPr>
      <w:r>
        <w:rPr>
          <w:color w:val="000000"/>
        </w:rPr>
        <w:t>萎缩流域面积缩小，生物生存空间、生存资源减少，因此物种间的竞争会加剧，④正确。</w:t>
      </w:r>
    </w:p>
    <w:p w14:paraId="6218BC37">
      <w:pPr>
        <w:spacing w:line="360" w:lineRule="auto"/>
        <w:ind w:firstLine="420"/>
        <w:jc w:val="both"/>
        <w:textAlignment w:val="center"/>
        <w:rPr>
          <w:color w:val="000000"/>
        </w:rPr>
      </w:pPr>
      <w:r>
        <w:rPr>
          <w:rFonts w:ascii="楷体" w:hAnsi="楷体" w:eastAsia="楷体" w:cs="楷体"/>
          <w:color w:val="000000"/>
        </w:rPr>
        <w:t>某光伏发电场利用太阳自动跟踪系统维持光伏面板始终垂直于太阳光线，以达到最大发电效率。下图表示</w:t>
      </w:r>
      <w:r>
        <w:rPr>
          <w:rFonts w:ascii="Times New Roman" w:hAnsi="Times New Roman" w:eastAsia="Times New Roman" w:cs="Times New Roman"/>
          <w:color w:val="000000"/>
        </w:rPr>
        <w:t>2024</w:t>
      </w:r>
      <w:r>
        <w:rPr>
          <w:rFonts w:ascii="楷体" w:hAnsi="楷体" w:eastAsia="楷体" w:cs="楷体"/>
          <w:color w:val="000000"/>
        </w:rPr>
        <w:t>年冬至日</w:t>
      </w:r>
      <w:r>
        <w:rPr>
          <w:rFonts w:ascii="Times New Roman" w:hAnsi="Times New Roman" w:eastAsia="Times New Roman" w:cs="Times New Roman"/>
          <w:color w:val="000000"/>
        </w:rPr>
        <w:t>6—18</w:t>
      </w:r>
      <w:r>
        <w:rPr>
          <w:rFonts w:ascii="楷体" w:hAnsi="楷体" w:eastAsia="楷体" w:cs="楷体"/>
          <w:color w:val="000000"/>
        </w:rPr>
        <w:t>时该光伏发电场所在地的太阳高度角和太阳方位角变化。据此完成下面小题。</w:t>
      </w:r>
    </w:p>
    <w:p w14:paraId="137DDF84">
      <w:pPr>
        <w:spacing w:line="360" w:lineRule="auto"/>
        <w:jc w:val="both"/>
        <w:textAlignment w:val="center"/>
        <w:rPr>
          <w:color w:val="000000"/>
        </w:rPr>
      </w:pPr>
      <w:r>
        <w:rPr>
          <w:color w:val="000000"/>
        </w:rPr>
        <w:drawing>
          <wp:inline distT="0" distB="0" distL="114300" distR="114300">
            <wp:extent cx="2190750"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90750" cy="1352550"/>
                    </a:xfrm>
                    <a:prstGeom prst="rect">
                      <a:avLst/>
                    </a:prstGeom>
                  </pic:spPr>
                </pic:pic>
              </a:graphicData>
            </a:graphic>
          </wp:inline>
        </w:drawing>
      </w:r>
    </w:p>
    <w:p w14:paraId="007D2862">
      <w:pPr>
        <w:spacing w:line="360" w:lineRule="auto"/>
        <w:jc w:val="left"/>
        <w:textAlignment w:val="center"/>
        <w:rPr>
          <w:color w:val="000000"/>
        </w:rPr>
      </w:pPr>
      <w:r>
        <w:rPr>
          <w:color w:val="000000"/>
        </w:rPr>
        <w:t xml:space="preserve">11. </w:t>
      </w:r>
      <w:r>
        <w:rPr>
          <w:rFonts w:ascii="宋体" w:hAnsi="宋体" w:eastAsia="宋体" w:cs="宋体"/>
          <w:color w:val="000000"/>
        </w:rPr>
        <w:t>据上图可确定，该地的地理坐标约为（</w:t>
      </w:r>
      <w:r>
        <w:rPr>
          <w:rFonts w:ascii="Times New Roman" w:hAnsi="Times New Roman" w:eastAsia="Times New Roman" w:cs="Times New Roman"/>
          <w:color w:val="000000"/>
        </w:rPr>
        <w:t xml:space="preserve">   </w:t>
      </w:r>
      <w:r>
        <w:rPr>
          <w:rFonts w:ascii="宋体" w:hAnsi="宋体" w:eastAsia="宋体" w:cs="宋体"/>
          <w:color w:val="000000"/>
        </w:rPr>
        <w:t>）</w:t>
      </w:r>
    </w:p>
    <w:p w14:paraId="60DAB4B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38.5°N</w:t>
      </w:r>
      <w:r>
        <w:rPr>
          <w:rFonts w:ascii="宋体" w:hAnsi="宋体" w:eastAsia="宋体" w:cs="宋体"/>
          <w:color w:val="000000"/>
        </w:rPr>
        <w:t>，</w:t>
      </w:r>
      <w:r>
        <w:rPr>
          <w:rFonts w:ascii="Times New Roman" w:hAnsi="Times New Roman" w:eastAsia="Times New Roman" w:cs="Times New Roman"/>
          <w:color w:val="000000"/>
        </w:rPr>
        <w:t>106.0°E</w:t>
      </w:r>
      <w:r>
        <w:rPr>
          <w:color w:val="000000"/>
        </w:rPr>
        <w:tab/>
      </w:r>
      <w:r>
        <w:rPr>
          <w:color w:val="000000"/>
        </w:rPr>
        <w:t xml:space="preserve">B. </w:t>
      </w:r>
      <w:r>
        <w:rPr>
          <w:rFonts w:ascii="Times New Roman" w:hAnsi="Times New Roman" w:eastAsia="Times New Roman" w:cs="Times New Roman"/>
          <w:color w:val="000000"/>
        </w:rPr>
        <w:t>38.5°N</w:t>
      </w:r>
      <w:r>
        <w:rPr>
          <w:rFonts w:ascii="宋体" w:hAnsi="宋体" w:eastAsia="宋体" w:cs="宋体"/>
          <w:color w:val="000000"/>
        </w:rPr>
        <w:t>，</w:t>
      </w:r>
      <w:r>
        <w:rPr>
          <w:rFonts w:ascii="Times New Roman" w:hAnsi="Times New Roman" w:eastAsia="Times New Roman" w:cs="Times New Roman"/>
          <w:color w:val="000000"/>
        </w:rPr>
        <w:t>134.0°E</w:t>
      </w:r>
      <w:r>
        <w:rPr>
          <w:color w:val="000000"/>
        </w:rPr>
        <w:tab/>
      </w:r>
      <w:r>
        <w:rPr>
          <w:color w:val="000000"/>
        </w:rPr>
        <w:t xml:space="preserve">C. </w:t>
      </w:r>
      <w:r>
        <w:rPr>
          <w:rFonts w:ascii="Times New Roman" w:hAnsi="Times New Roman" w:eastAsia="Times New Roman" w:cs="Times New Roman"/>
          <w:color w:val="000000"/>
        </w:rPr>
        <w:t>28.0°N</w:t>
      </w:r>
      <w:r>
        <w:rPr>
          <w:rFonts w:ascii="宋体" w:hAnsi="宋体" w:eastAsia="宋体" w:cs="宋体"/>
          <w:color w:val="000000"/>
        </w:rPr>
        <w:t>，</w:t>
      </w:r>
      <w:r>
        <w:rPr>
          <w:rFonts w:ascii="Times New Roman" w:hAnsi="Times New Roman" w:eastAsia="Times New Roman" w:cs="Times New Roman"/>
          <w:color w:val="000000"/>
        </w:rPr>
        <w:t>119.0°E</w:t>
      </w:r>
      <w:r>
        <w:rPr>
          <w:color w:val="000000"/>
        </w:rPr>
        <w:tab/>
      </w:r>
      <w:r>
        <w:rPr>
          <w:color w:val="000000"/>
        </w:rPr>
        <w:t xml:space="preserve">D. </w:t>
      </w:r>
      <w:r>
        <w:rPr>
          <w:rFonts w:ascii="Times New Roman" w:hAnsi="Times New Roman" w:eastAsia="Times New Roman" w:cs="Times New Roman"/>
          <w:color w:val="000000"/>
        </w:rPr>
        <w:t>28.0°N</w:t>
      </w:r>
      <w:r>
        <w:rPr>
          <w:rFonts w:ascii="宋体" w:hAnsi="宋体" w:eastAsia="宋体" w:cs="宋体"/>
          <w:color w:val="000000"/>
        </w:rPr>
        <w:t>，</w:t>
      </w:r>
      <w:r>
        <w:rPr>
          <w:rFonts w:ascii="Times New Roman" w:hAnsi="Times New Roman" w:eastAsia="Times New Roman" w:cs="Times New Roman"/>
          <w:color w:val="000000"/>
        </w:rPr>
        <w:t>106.0°E</w:t>
      </w:r>
    </w:p>
    <w:p w14:paraId="70115348">
      <w:pPr>
        <w:spacing w:line="360" w:lineRule="auto"/>
        <w:jc w:val="left"/>
        <w:textAlignment w:val="center"/>
        <w:rPr>
          <w:color w:val="000000"/>
        </w:rPr>
      </w:pPr>
      <w:r>
        <w:rPr>
          <w:color w:val="000000"/>
        </w:rPr>
        <w:t xml:space="preserve">12. </w:t>
      </w:r>
      <w:r>
        <w:rPr>
          <w:rFonts w:ascii="宋体" w:hAnsi="宋体" w:eastAsia="宋体" w:cs="宋体"/>
          <w:color w:val="000000"/>
        </w:rPr>
        <w:t>据上图可知，在冬至日该地地方时正午时刻，光伏面板朝向的方位角是（</w:t>
      </w:r>
      <w:r>
        <w:rPr>
          <w:rFonts w:ascii="Times New Roman" w:hAnsi="Times New Roman" w:eastAsia="Times New Roman" w:cs="Times New Roman"/>
          <w:color w:val="000000"/>
        </w:rPr>
        <w:t xml:space="preserve">   </w:t>
      </w:r>
      <w:r>
        <w:rPr>
          <w:rFonts w:ascii="宋体" w:hAnsi="宋体" w:eastAsia="宋体" w:cs="宋体"/>
          <w:color w:val="000000"/>
        </w:rPr>
        <w:t>）</w:t>
      </w:r>
    </w:p>
    <w:p w14:paraId="17AB03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135°</w:t>
      </w:r>
      <w:r>
        <w:rPr>
          <w:color w:val="000000"/>
        </w:rPr>
        <w:tab/>
      </w:r>
      <w:r>
        <w:rPr>
          <w:color w:val="000000"/>
        </w:rPr>
        <w:t xml:space="preserve">B. </w:t>
      </w:r>
      <w:r>
        <w:rPr>
          <w:rFonts w:ascii="Times New Roman" w:hAnsi="Times New Roman" w:eastAsia="Times New Roman" w:cs="Times New Roman"/>
          <w:color w:val="000000"/>
        </w:rPr>
        <w:t>180°</w:t>
      </w:r>
      <w:r>
        <w:rPr>
          <w:color w:val="000000"/>
        </w:rPr>
        <w:tab/>
      </w:r>
      <w:r>
        <w:rPr>
          <w:color w:val="000000"/>
        </w:rPr>
        <w:t xml:space="preserve">C. </w:t>
      </w:r>
      <w:r>
        <w:rPr>
          <w:rFonts w:ascii="Times New Roman" w:hAnsi="Times New Roman" w:eastAsia="Times New Roman" w:cs="Times New Roman"/>
          <w:color w:val="000000"/>
        </w:rPr>
        <w:t>195°</w:t>
      </w:r>
      <w:r>
        <w:rPr>
          <w:color w:val="000000"/>
        </w:rPr>
        <w:tab/>
      </w:r>
      <w:r>
        <w:rPr>
          <w:color w:val="000000"/>
        </w:rPr>
        <w:t xml:space="preserve">D. </w:t>
      </w:r>
      <w:r>
        <w:rPr>
          <w:rFonts w:ascii="Times New Roman" w:hAnsi="Times New Roman" w:eastAsia="Times New Roman" w:cs="Times New Roman"/>
          <w:color w:val="000000"/>
        </w:rPr>
        <w:t>210°</w:t>
      </w:r>
    </w:p>
    <w:p w14:paraId="480A4FCD">
      <w:pPr>
        <w:spacing w:line="360" w:lineRule="auto"/>
        <w:textAlignment w:val="center"/>
        <w:rPr>
          <w:color w:val="000000"/>
        </w:rPr>
      </w:pPr>
      <w:r>
        <w:rPr>
          <w:color w:val="2E75B6"/>
        </w:rPr>
        <w:t>【答案】</w:t>
      </w:r>
      <w:r>
        <w:rPr>
          <w:color w:val="000000"/>
        </w:rPr>
        <w:t>11. A    12. B</w:t>
      </w:r>
    </w:p>
    <w:p w14:paraId="0BC42CF2">
      <w:pPr>
        <w:spacing w:line="360" w:lineRule="auto"/>
        <w:textAlignment w:val="center"/>
        <w:rPr>
          <w:color w:val="000000"/>
        </w:rPr>
      </w:pPr>
      <w:r>
        <w:rPr>
          <w:color w:val="2E75B6"/>
        </w:rPr>
        <w:t>【解析】</w:t>
      </w:r>
    </w:p>
    <w:p w14:paraId="12C636F3">
      <w:pPr>
        <w:spacing w:line="360" w:lineRule="auto"/>
        <w:textAlignment w:val="center"/>
        <w:rPr>
          <w:color w:val="000000"/>
        </w:rPr>
      </w:pPr>
      <w:r>
        <w:rPr>
          <w:color w:val="000000"/>
        </w:rPr>
        <w:t>【11题详解】</w:t>
      </w:r>
    </w:p>
    <w:p w14:paraId="69824C2A">
      <w:pPr>
        <w:spacing w:line="360" w:lineRule="auto"/>
        <w:jc w:val="left"/>
        <w:textAlignment w:val="center"/>
        <w:rPr>
          <w:color w:val="000000"/>
        </w:rPr>
      </w:pPr>
      <w:r>
        <w:rPr>
          <w:rFonts w:ascii="宋体" w:hAnsi="宋体" w:eastAsia="宋体" w:cs="宋体"/>
          <w:color w:val="000000"/>
        </w:rPr>
        <w:t>确定纬度：冬至日太阳直射南回归线（23.5°S），从图中可知该地正午太阳高度为28°。根据正午太阳高度计算公式H=90°−∣φ−δ∣（其中H为正午太阳高度，φ为当地纬度，δ为太阳直射点纬度），解得φ=38.5°N。</w:t>
      </w:r>
    </w:p>
    <w:p w14:paraId="57CC2C99">
      <w:pPr>
        <w:spacing w:line="360" w:lineRule="auto"/>
        <w:jc w:val="left"/>
        <w:textAlignment w:val="center"/>
        <w:rPr>
          <w:color w:val="000000"/>
        </w:rPr>
      </w:pPr>
      <w:r>
        <w:rPr>
          <w:rFonts w:ascii="宋体" w:hAnsi="宋体" w:eastAsia="宋体" w:cs="宋体"/>
          <w:color w:val="000000"/>
        </w:rPr>
        <w:t>确定经度：图中显示北京时间12:56时该地太阳高度达到最大，即地方时为12时。北京时间是120°E的地方时，根据地方时计算，经度相差1°，时间相差4分钟，该地比120°E时间晚56分钟，经度相差14°，所以该地经度为106°E。因此，该地的地理坐标约为38.5°N，106°E，A正确。</w:t>
      </w:r>
    </w:p>
    <w:p w14:paraId="356A2F82">
      <w:pPr>
        <w:spacing w:line="360" w:lineRule="auto"/>
        <w:jc w:val="left"/>
        <w:textAlignment w:val="center"/>
        <w:rPr>
          <w:color w:val="000000"/>
        </w:rPr>
      </w:pPr>
      <w:r>
        <w:rPr>
          <w:color w:val="000000"/>
        </w:rPr>
        <w:t>【12题详解】</w:t>
      </w:r>
    </w:p>
    <w:p w14:paraId="3E8316EF">
      <w:pPr>
        <w:spacing w:line="360" w:lineRule="auto"/>
        <w:jc w:val="left"/>
        <w:textAlignment w:val="center"/>
        <w:rPr>
          <w:color w:val="000000"/>
        </w:rPr>
      </w:pPr>
      <w:r>
        <w:rPr>
          <w:rFonts w:ascii="宋体" w:hAnsi="宋体" w:eastAsia="宋体" w:cs="宋体"/>
          <w:color w:val="000000"/>
        </w:rPr>
        <w:t>地方时正午时刻太阳位于正南方向，从图中太阳方位角的标注可知，正南方向对应的方位角是180°，所以在冬至日该地地方时正午时刻，光伏面板朝向的方位角是180°B正确。</w:t>
      </w:r>
    </w:p>
    <w:p w14:paraId="290C5FA6">
      <w:pPr>
        <w:spacing w:line="360" w:lineRule="auto"/>
        <w:ind w:firstLine="420"/>
        <w:jc w:val="both"/>
        <w:textAlignment w:val="center"/>
        <w:rPr>
          <w:color w:val="000000"/>
        </w:rPr>
      </w:pPr>
      <w:r>
        <w:rPr>
          <w:rFonts w:ascii="楷体" w:hAnsi="楷体" w:eastAsia="楷体" w:cs="楷体"/>
          <w:color w:val="000000"/>
        </w:rPr>
        <w:t>受自然地理条件影响，一些地区的食物产量与消费量常存在差异，使得本地食物供需不平衡，需要跨区域调运。下图反映</w:t>
      </w:r>
      <w:r>
        <w:rPr>
          <w:rFonts w:ascii="Times New Roman" w:hAnsi="Times New Roman" w:eastAsia="Times New Roman" w:cs="Times New Roman"/>
          <w:color w:val="000000"/>
        </w:rPr>
        <w:t>2022</w:t>
      </w:r>
      <w:r>
        <w:rPr>
          <w:rFonts w:ascii="楷体" w:hAnsi="楷体" w:eastAsia="楷体" w:cs="楷体"/>
          <w:color w:val="000000"/>
        </w:rPr>
        <w:t>年西藏自治区食物产量与消费量情况。据此完成下面小题。</w:t>
      </w:r>
    </w:p>
    <w:p w14:paraId="73A35C19">
      <w:pPr>
        <w:spacing w:line="360" w:lineRule="auto"/>
        <w:jc w:val="both"/>
        <w:textAlignment w:val="center"/>
        <w:rPr>
          <w:color w:val="000000"/>
        </w:rPr>
      </w:pPr>
      <w:r>
        <w:rPr>
          <w:color w:val="000000"/>
        </w:rPr>
        <w:drawing>
          <wp:inline distT="0" distB="0" distL="114300" distR="114300">
            <wp:extent cx="3190875" cy="2819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190875" cy="2819400"/>
                    </a:xfrm>
                    <a:prstGeom prst="rect">
                      <a:avLst/>
                    </a:prstGeom>
                  </pic:spPr>
                </pic:pic>
              </a:graphicData>
            </a:graphic>
          </wp:inline>
        </w:drawing>
      </w:r>
      <w:r>
        <w:rPr>
          <w:color w:val="000000"/>
        </w:rPr>
        <w:drawing>
          <wp:inline distT="0" distB="0" distL="114300" distR="114300">
            <wp:extent cx="3419475" cy="30194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419475" cy="3019425"/>
                    </a:xfrm>
                    <a:prstGeom prst="rect">
                      <a:avLst/>
                    </a:prstGeom>
                  </pic:spPr>
                </pic:pic>
              </a:graphicData>
            </a:graphic>
          </wp:inline>
        </w:drawing>
      </w:r>
    </w:p>
    <w:p w14:paraId="2A0BF47D">
      <w:pPr>
        <w:spacing w:line="360" w:lineRule="auto"/>
        <w:jc w:val="left"/>
        <w:textAlignment w:val="center"/>
        <w:rPr>
          <w:color w:val="000000"/>
        </w:rPr>
      </w:pPr>
      <w:r>
        <w:rPr>
          <w:color w:val="000000"/>
        </w:rPr>
        <w:t xml:space="preserve">13. </w:t>
      </w:r>
      <w:r>
        <w:rPr>
          <w:rFonts w:ascii="宋体" w:hAnsi="宋体" w:eastAsia="宋体" w:cs="宋体"/>
          <w:color w:val="000000"/>
        </w:rPr>
        <w:t>正确反映如图所示西藏自治区不同食物产量与消费量关系特征及其自然成因的是（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51B8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青稞供不应求；冻土分布较广</w:t>
      </w:r>
      <w:r>
        <w:rPr>
          <w:color w:val="000000"/>
        </w:rPr>
        <w:tab/>
      </w:r>
      <w:r>
        <w:rPr>
          <w:color w:val="000000"/>
        </w:rPr>
        <w:t xml:space="preserve">B. </w:t>
      </w:r>
      <w:r>
        <w:rPr>
          <w:rFonts w:ascii="宋体" w:hAnsi="宋体" w:eastAsia="宋体" w:cs="宋体"/>
          <w:color w:val="000000"/>
        </w:rPr>
        <w:t>蔬菜供大于求；平原面积广阔</w:t>
      </w:r>
    </w:p>
    <w:p w14:paraId="0687A8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小麦的自给率最高；土壤肥沃</w:t>
      </w:r>
      <w:r>
        <w:rPr>
          <w:color w:val="000000"/>
        </w:rPr>
        <w:tab/>
      </w:r>
      <w:r>
        <w:rPr>
          <w:color w:val="000000"/>
        </w:rPr>
        <w:t xml:space="preserve">D. </w:t>
      </w:r>
      <w:r>
        <w:rPr>
          <w:rFonts w:ascii="宋体" w:hAnsi="宋体" w:eastAsia="宋体" w:cs="宋体"/>
          <w:color w:val="000000"/>
        </w:rPr>
        <w:t>稻谷需求缺口大；水热条件差</w:t>
      </w:r>
    </w:p>
    <w:p w14:paraId="0BBA65E1">
      <w:pPr>
        <w:spacing w:line="360" w:lineRule="auto"/>
        <w:jc w:val="left"/>
        <w:textAlignment w:val="center"/>
        <w:rPr>
          <w:color w:val="000000"/>
        </w:rPr>
      </w:pPr>
      <w:r>
        <w:rPr>
          <w:color w:val="000000"/>
        </w:rPr>
        <w:t xml:space="preserve">14. </w:t>
      </w:r>
      <w:r>
        <w:rPr>
          <w:rFonts w:ascii="宋体" w:hAnsi="宋体" w:eastAsia="宋体" w:cs="宋体"/>
          <w:color w:val="000000"/>
        </w:rPr>
        <w:t>向西藏自治区输入的肉类食物中，猪肉的运输产生的碳排放较高，最可能的原因是猪肉（</w:t>
      </w:r>
      <w:r>
        <w:rPr>
          <w:rFonts w:ascii="Times New Roman" w:hAnsi="Times New Roman" w:eastAsia="Times New Roman" w:cs="Times New Roman"/>
          <w:color w:val="000000"/>
        </w:rPr>
        <w:t xml:space="preserve">   </w:t>
      </w:r>
      <w:r>
        <w:rPr>
          <w:rFonts w:ascii="宋体" w:hAnsi="宋体" w:eastAsia="宋体" w:cs="宋体"/>
          <w:color w:val="000000"/>
        </w:rPr>
        <w:t>）</w:t>
      </w:r>
    </w:p>
    <w:p w14:paraId="642B06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存在需求缺口，多采用冷链储运</w:t>
      </w:r>
      <w:r>
        <w:rPr>
          <w:color w:val="000000"/>
        </w:rPr>
        <w:tab/>
      </w:r>
      <w:r>
        <w:rPr>
          <w:color w:val="000000"/>
        </w:rPr>
        <w:t xml:space="preserve">B. </w:t>
      </w:r>
      <w:r>
        <w:rPr>
          <w:rFonts w:ascii="宋体" w:hAnsi="宋体" w:eastAsia="宋体" w:cs="宋体"/>
          <w:color w:val="000000"/>
        </w:rPr>
        <w:t>保鲜要求较高，需采用航空运输</w:t>
      </w:r>
    </w:p>
    <w:p w14:paraId="2603F3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运量比较大，储存了大量的有机碳</w:t>
      </w:r>
      <w:r>
        <w:rPr>
          <w:color w:val="000000"/>
        </w:rPr>
        <w:tab/>
      </w:r>
      <w:r>
        <w:rPr>
          <w:color w:val="000000"/>
        </w:rPr>
        <w:t xml:space="preserve">D. </w:t>
      </w:r>
      <w:r>
        <w:rPr>
          <w:rFonts w:ascii="宋体" w:hAnsi="宋体" w:eastAsia="宋体" w:cs="宋体"/>
          <w:color w:val="000000"/>
        </w:rPr>
        <w:t>运输经高寒地区，温室效应影响强</w:t>
      </w:r>
    </w:p>
    <w:p w14:paraId="3A74ED9F">
      <w:pPr>
        <w:spacing w:line="360" w:lineRule="auto"/>
        <w:textAlignment w:val="center"/>
        <w:rPr>
          <w:color w:val="000000"/>
        </w:rPr>
      </w:pPr>
      <w:r>
        <w:rPr>
          <w:color w:val="2E75B6"/>
        </w:rPr>
        <w:t>【答案】</w:t>
      </w:r>
      <w:r>
        <w:rPr>
          <w:color w:val="000000"/>
        </w:rPr>
        <w:t>13. D    14. A</w:t>
      </w:r>
    </w:p>
    <w:p w14:paraId="21E17752">
      <w:pPr>
        <w:spacing w:line="360" w:lineRule="auto"/>
        <w:textAlignment w:val="center"/>
        <w:rPr>
          <w:color w:val="000000"/>
        </w:rPr>
      </w:pPr>
      <w:r>
        <w:rPr>
          <w:color w:val="2E75B6"/>
        </w:rPr>
        <w:t>【解析】</w:t>
      </w:r>
    </w:p>
    <w:p w14:paraId="1818532E">
      <w:pPr>
        <w:spacing w:line="360" w:lineRule="auto"/>
        <w:textAlignment w:val="center"/>
        <w:rPr>
          <w:color w:val="000000"/>
        </w:rPr>
      </w:pPr>
      <w:r>
        <w:rPr>
          <w:color w:val="000000"/>
        </w:rPr>
        <w:t>【13题详解】</w:t>
      </w:r>
    </w:p>
    <w:p w14:paraId="231FB470">
      <w:pPr>
        <w:spacing w:line="360" w:lineRule="auto"/>
        <w:jc w:val="left"/>
        <w:textAlignment w:val="center"/>
        <w:rPr>
          <w:color w:val="000000"/>
        </w:rPr>
      </w:pPr>
      <w:r>
        <w:rPr>
          <w:color w:val="000000"/>
        </w:rPr>
        <w:t>雷达图中，白色框代表产量、阴影代表消费量，越向外围数值越大，结合西藏自然地理特征分析：青稞产量大于消费量，为供过于求，A错误。</w:t>
      </w:r>
    </w:p>
    <w:p w14:paraId="3A998112">
      <w:pPr>
        <w:spacing w:line="360" w:lineRule="auto"/>
        <w:jc w:val="left"/>
        <w:textAlignment w:val="center"/>
        <w:rPr>
          <w:color w:val="000000"/>
        </w:rPr>
      </w:pPr>
      <w:r>
        <w:rPr>
          <w:color w:val="000000"/>
        </w:rPr>
        <w:t>西藏以高原地形为主，平原面积狭小；且图中蔬菜消费量远大于产量，供不应求，B错误。</w:t>
      </w:r>
    </w:p>
    <w:p w14:paraId="6C1F1818">
      <w:pPr>
        <w:spacing w:line="360" w:lineRule="auto"/>
        <w:jc w:val="left"/>
        <w:textAlignment w:val="center"/>
        <w:rPr>
          <w:color w:val="000000"/>
        </w:rPr>
      </w:pPr>
      <w:r>
        <w:rPr>
          <w:color w:val="000000"/>
        </w:rPr>
        <w:t>青稞产量远大于消费量，自给率高于小麦，且西藏大部分区域土壤肥力较低，C错误。</w:t>
      </w:r>
    </w:p>
    <w:p w14:paraId="7A9B7ACD">
      <w:pPr>
        <w:spacing w:line="360" w:lineRule="auto"/>
        <w:jc w:val="left"/>
        <w:textAlignment w:val="center"/>
        <w:rPr>
          <w:color w:val="000000"/>
        </w:rPr>
      </w:pPr>
      <w:r>
        <w:rPr>
          <w:color w:val="000000"/>
        </w:rPr>
        <w:t>西藏海拔高，水热条件差，不适宜大面积种植稻谷，本地产量远小于消费量，需求缺口大，D正确。</w:t>
      </w:r>
    </w:p>
    <w:p w14:paraId="0767EB43">
      <w:pPr>
        <w:spacing w:line="360" w:lineRule="auto"/>
        <w:jc w:val="left"/>
        <w:textAlignment w:val="center"/>
        <w:rPr>
          <w:color w:val="000000"/>
        </w:rPr>
      </w:pPr>
      <w:r>
        <w:rPr>
          <w:color w:val="000000"/>
        </w:rPr>
        <w:t>【14题详解】</w:t>
      </w:r>
    </w:p>
    <w:p w14:paraId="1ABA17EB">
      <w:pPr>
        <w:spacing w:line="360" w:lineRule="auto"/>
        <w:jc w:val="left"/>
        <w:textAlignment w:val="center"/>
        <w:rPr>
          <w:color w:val="000000"/>
        </w:rPr>
      </w:pPr>
      <w:r>
        <w:rPr>
          <w:color w:val="000000"/>
        </w:rPr>
        <w:t>运输碳排放来自运输过程的能源消耗，西藏本地猪肉产量远不能满足消费需求，需要长途调运；猪肉易变质，长途运输需要全程冷链储运，制冷环节消耗大量能源，因此运输碳排放高，A正确。</w:t>
      </w:r>
    </w:p>
    <w:p w14:paraId="62B8502A">
      <w:pPr>
        <w:spacing w:line="360" w:lineRule="auto"/>
        <w:jc w:val="left"/>
        <w:textAlignment w:val="center"/>
        <w:rPr>
          <w:color w:val="000000"/>
        </w:rPr>
      </w:pPr>
      <w:r>
        <w:rPr>
          <w:color w:val="000000"/>
        </w:rPr>
        <w:t>航空运输运量小，价格高，猪肉运输运量较大，不会大规模采用运价高的航空运输，B错误。</w:t>
      </w:r>
    </w:p>
    <w:p w14:paraId="5696DE23">
      <w:pPr>
        <w:spacing w:line="360" w:lineRule="auto"/>
        <w:jc w:val="left"/>
        <w:textAlignment w:val="center"/>
        <w:rPr>
          <w:color w:val="000000"/>
        </w:rPr>
      </w:pPr>
      <w:r>
        <w:rPr>
          <w:color w:val="000000"/>
        </w:rPr>
        <w:t>题干问的是运输过程产生的碳排放，和猪肉本身储存的有机碳无关，C错误。</w:t>
      </w:r>
    </w:p>
    <w:p w14:paraId="3C16B534">
      <w:pPr>
        <w:spacing w:line="360" w:lineRule="auto"/>
        <w:jc w:val="left"/>
        <w:textAlignment w:val="center"/>
        <w:rPr>
          <w:color w:val="000000"/>
        </w:rPr>
      </w:pPr>
      <w:r>
        <w:rPr>
          <w:color w:val="000000"/>
        </w:rPr>
        <w:t>碳排放是运输过程能源消耗排放的污染物，和途经地区本身的温室效应强弱无关，D错误。</w:t>
      </w:r>
    </w:p>
    <w:p w14:paraId="0288EB59">
      <w:pPr>
        <w:spacing w:line="360" w:lineRule="auto"/>
        <w:ind w:firstLine="420"/>
        <w:jc w:val="both"/>
        <w:textAlignment w:val="center"/>
        <w:rPr>
          <w:color w:val="000000"/>
        </w:rPr>
      </w:pPr>
      <w:r>
        <w:rPr>
          <w:rFonts w:ascii="楷体" w:hAnsi="楷体" w:eastAsia="楷体" w:cs="楷体"/>
          <w:color w:val="000000"/>
        </w:rPr>
        <w:t>有学者在实验室采用人工模拟降雨方法，研究了相同降雨（三场次，每场次间隔</w:t>
      </w:r>
      <w:r>
        <w:rPr>
          <w:rFonts w:ascii="Times New Roman" w:hAnsi="Times New Roman" w:eastAsia="Times New Roman" w:cs="Times New Roman"/>
          <w:color w:val="000000"/>
        </w:rPr>
        <w:t>24h</w:t>
      </w:r>
      <w:r>
        <w:rPr>
          <w:rFonts w:ascii="楷体" w:hAnsi="楷体" w:eastAsia="楷体" w:cs="楷体"/>
          <w:color w:val="000000"/>
        </w:rPr>
        <w:t>）、坡度和土壤条件下，全埋、半埋和覆盖三类土岩镶嵌坡面（图</w:t>
      </w:r>
      <w:r>
        <w:rPr>
          <w:rFonts w:ascii="Times New Roman" w:hAnsi="Times New Roman" w:eastAsia="Times New Roman" w:cs="Times New Roman"/>
          <w:color w:val="000000"/>
        </w:rPr>
        <w:t>1</w:t>
      </w:r>
      <w:r>
        <w:rPr>
          <w:rFonts w:ascii="楷体" w:hAnsi="楷体" w:eastAsia="楷体" w:cs="楷体"/>
          <w:color w:val="000000"/>
        </w:rPr>
        <w:t>）的土壤侵蚀过程。图</w:t>
      </w:r>
      <w:r>
        <w:rPr>
          <w:rFonts w:ascii="Times New Roman" w:hAnsi="Times New Roman" w:eastAsia="Times New Roman" w:cs="Times New Roman"/>
          <w:color w:val="000000"/>
        </w:rPr>
        <w:t>2</w:t>
      </w:r>
      <w:r>
        <w:rPr>
          <w:rFonts w:ascii="楷体" w:hAnsi="楷体" w:eastAsia="楷体" w:cs="楷体"/>
          <w:color w:val="000000"/>
        </w:rPr>
        <w:t>示意这三场次降雨对不同类型土岩镶嵌坡面径流的影响。据此完成下面小题。</w:t>
      </w:r>
    </w:p>
    <w:p w14:paraId="70505E12">
      <w:pPr>
        <w:spacing w:line="360" w:lineRule="auto"/>
        <w:jc w:val="both"/>
        <w:textAlignment w:val="center"/>
        <w:rPr>
          <w:color w:val="000000"/>
        </w:rPr>
      </w:pPr>
      <w:r>
        <w:rPr>
          <w:color w:val="000000"/>
        </w:rPr>
        <w:drawing>
          <wp:inline distT="0" distB="0" distL="114300" distR="114300">
            <wp:extent cx="1847850" cy="1485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47850" cy="1485900"/>
                    </a:xfrm>
                    <a:prstGeom prst="rect">
                      <a:avLst/>
                    </a:prstGeom>
                  </pic:spPr>
                </pic:pic>
              </a:graphicData>
            </a:graphic>
          </wp:inline>
        </w:drawing>
      </w:r>
      <w:r>
        <w:rPr>
          <w:color w:val="000000"/>
        </w:rPr>
        <w:t xml:space="preserve">  </w:t>
      </w:r>
      <w:r>
        <w:rPr>
          <w:color w:val="000000"/>
        </w:rPr>
        <w:drawing>
          <wp:inline distT="0" distB="0" distL="114300" distR="114300">
            <wp:extent cx="5172075" cy="15525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172075" cy="1552575"/>
                    </a:xfrm>
                    <a:prstGeom prst="rect">
                      <a:avLst/>
                    </a:prstGeom>
                  </pic:spPr>
                </pic:pic>
              </a:graphicData>
            </a:graphic>
          </wp:inline>
        </w:drawing>
      </w:r>
    </w:p>
    <w:p w14:paraId="043515EE">
      <w:pPr>
        <w:spacing w:line="360" w:lineRule="auto"/>
        <w:jc w:val="left"/>
        <w:textAlignment w:val="center"/>
        <w:rPr>
          <w:color w:val="000000"/>
        </w:rPr>
      </w:pPr>
      <w:r>
        <w:rPr>
          <w:color w:val="000000"/>
        </w:rPr>
        <w:t xml:space="preserve">15. </w:t>
      </w:r>
      <w:r>
        <w:rPr>
          <w:rFonts w:ascii="宋体" w:hAnsi="宋体" w:eastAsia="宋体" w:cs="宋体"/>
          <w:color w:val="000000"/>
        </w:rPr>
        <w:t>据图</w:t>
      </w:r>
      <w:r>
        <w:rPr>
          <w:rFonts w:ascii="Times New Roman" w:hAnsi="Times New Roman" w:eastAsia="Times New Roman" w:cs="Times New Roman"/>
          <w:color w:val="000000"/>
        </w:rPr>
        <w:t>2</w:t>
      </w:r>
      <w:r>
        <w:rPr>
          <w:rFonts w:ascii="宋体" w:hAnsi="宋体" w:eastAsia="宋体" w:cs="宋体"/>
          <w:color w:val="000000"/>
        </w:rPr>
        <w:t>分析，造成此三类坡面的坡面径流量差异的原因是，不同土岩镶嵌方式改变了土壤的（</w:t>
      </w:r>
      <w:r>
        <w:rPr>
          <w:rFonts w:ascii="Times New Roman" w:hAnsi="Times New Roman" w:eastAsia="Times New Roman" w:cs="Times New Roman"/>
          <w:color w:val="000000"/>
        </w:rPr>
        <w:t xml:space="preserve">   </w:t>
      </w:r>
      <w:r>
        <w:rPr>
          <w:rFonts w:ascii="宋体" w:hAnsi="宋体" w:eastAsia="宋体" w:cs="宋体"/>
          <w:color w:val="000000"/>
        </w:rPr>
        <w:t>）</w:t>
      </w:r>
    </w:p>
    <w:p w14:paraId="558540AF">
      <w:pPr>
        <w:spacing w:line="360" w:lineRule="auto"/>
        <w:jc w:val="both"/>
        <w:textAlignment w:val="center"/>
        <w:rPr>
          <w:color w:val="000000"/>
        </w:rPr>
      </w:pPr>
      <w:r>
        <w:rPr>
          <w:rFonts w:ascii="宋体" w:hAnsi="宋体" w:eastAsia="宋体" w:cs="宋体"/>
          <w:color w:val="000000"/>
        </w:rPr>
        <w:t>①孔隙度</w:t>
      </w:r>
      <w:r>
        <w:rPr>
          <w:color w:val="000000"/>
        </w:rPr>
        <w:t xml:space="preserve">    </w:t>
      </w:r>
      <w:r>
        <w:rPr>
          <w:rFonts w:ascii="宋体" w:hAnsi="宋体" w:eastAsia="宋体" w:cs="宋体"/>
          <w:color w:val="000000"/>
        </w:rPr>
        <w:t>②暴露面积</w:t>
      </w:r>
      <w:r>
        <w:rPr>
          <w:color w:val="000000"/>
        </w:rPr>
        <w:t xml:space="preserve">    </w:t>
      </w:r>
      <w:r>
        <w:rPr>
          <w:rFonts w:ascii="宋体" w:hAnsi="宋体" w:eastAsia="宋体" w:cs="宋体"/>
          <w:color w:val="000000"/>
        </w:rPr>
        <w:t>③母岩性质</w:t>
      </w:r>
      <w:r>
        <w:rPr>
          <w:color w:val="000000"/>
        </w:rPr>
        <w:t xml:space="preserve">    </w:t>
      </w:r>
      <w:r>
        <w:rPr>
          <w:rFonts w:ascii="宋体" w:hAnsi="宋体" w:eastAsia="宋体" w:cs="宋体"/>
          <w:color w:val="000000"/>
        </w:rPr>
        <w:t>④矿物质组成</w:t>
      </w:r>
    </w:p>
    <w:p w14:paraId="0B9A5F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F6F9165">
      <w:pPr>
        <w:spacing w:line="360" w:lineRule="auto"/>
        <w:jc w:val="left"/>
        <w:textAlignment w:val="center"/>
        <w:rPr>
          <w:color w:val="000000"/>
        </w:rPr>
      </w:pPr>
      <w:r>
        <w:rPr>
          <w:color w:val="000000"/>
        </w:rPr>
        <w:t xml:space="preserve">16. </w:t>
      </w:r>
      <w:r>
        <w:rPr>
          <w:rFonts w:ascii="宋体" w:hAnsi="宋体" w:eastAsia="宋体" w:cs="宋体"/>
          <w:color w:val="000000"/>
        </w:rPr>
        <w:t>该实验模拟的水土流失情况出现最普遍的地区是（</w:t>
      </w:r>
      <w:r>
        <w:rPr>
          <w:rFonts w:ascii="Times New Roman" w:hAnsi="Times New Roman" w:eastAsia="Times New Roman" w:cs="Times New Roman"/>
          <w:color w:val="000000"/>
        </w:rPr>
        <w:t xml:space="preserve">   </w:t>
      </w:r>
      <w:r>
        <w:rPr>
          <w:rFonts w:ascii="宋体" w:hAnsi="宋体" w:eastAsia="宋体" w:cs="宋体"/>
          <w:color w:val="000000"/>
        </w:rPr>
        <w:t>）</w:t>
      </w:r>
    </w:p>
    <w:p w14:paraId="5FE980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黄土高原黄土冲沟区</w:t>
      </w:r>
      <w:r>
        <w:rPr>
          <w:color w:val="000000"/>
        </w:rPr>
        <w:tab/>
      </w:r>
      <w:r>
        <w:rPr>
          <w:color w:val="000000"/>
        </w:rPr>
        <w:t xml:space="preserve">B. </w:t>
      </w:r>
      <w:r>
        <w:rPr>
          <w:rFonts w:ascii="宋体" w:hAnsi="宋体" w:eastAsia="宋体" w:cs="宋体"/>
          <w:color w:val="000000"/>
        </w:rPr>
        <w:t>东北平原黑土区</w:t>
      </w:r>
    </w:p>
    <w:p w14:paraId="4F64B30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云贵高原喀斯特地区</w:t>
      </w:r>
      <w:r>
        <w:rPr>
          <w:color w:val="000000"/>
        </w:rPr>
        <w:tab/>
      </w:r>
      <w:r>
        <w:rPr>
          <w:color w:val="000000"/>
        </w:rPr>
        <w:t xml:space="preserve">D. </w:t>
      </w:r>
      <w:r>
        <w:rPr>
          <w:rFonts w:ascii="宋体" w:hAnsi="宋体" w:eastAsia="宋体" w:cs="宋体"/>
          <w:color w:val="000000"/>
        </w:rPr>
        <w:t>江南丘陵红壤区</w:t>
      </w:r>
    </w:p>
    <w:p w14:paraId="78B84829">
      <w:pPr>
        <w:spacing w:line="360" w:lineRule="auto"/>
        <w:textAlignment w:val="center"/>
        <w:rPr>
          <w:color w:val="000000"/>
        </w:rPr>
      </w:pPr>
      <w:r>
        <w:rPr>
          <w:color w:val="2E75B6"/>
        </w:rPr>
        <w:t>【答案】</w:t>
      </w:r>
      <w:r>
        <w:rPr>
          <w:color w:val="000000"/>
        </w:rPr>
        <w:t>15. A    16. C</w:t>
      </w:r>
    </w:p>
    <w:p w14:paraId="50817CC0">
      <w:pPr>
        <w:spacing w:line="360" w:lineRule="auto"/>
        <w:textAlignment w:val="center"/>
        <w:rPr>
          <w:color w:val="000000"/>
        </w:rPr>
      </w:pPr>
      <w:r>
        <w:rPr>
          <w:color w:val="2E75B6"/>
        </w:rPr>
        <w:t>【解析】</w:t>
      </w:r>
    </w:p>
    <w:p w14:paraId="5D9BFED9">
      <w:pPr>
        <w:spacing w:line="360" w:lineRule="auto"/>
        <w:textAlignment w:val="center"/>
        <w:rPr>
          <w:color w:val="000000"/>
        </w:rPr>
      </w:pPr>
      <w:r>
        <w:rPr>
          <w:color w:val="000000"/>
        </w:rPr>
        <w:t>【15题详解】</w:t>
      </w:r>
    </w:p>
    <w:p w14:paraId="5AFA8885">
      <w:pPr>
        <w:spacing w:line="360" w:lineRule="auto"/>
        <w:jc w:val="left"/>
        <w:textAlignment w:val="center"/>
        <w:rPr>
          <w:color w:val="000000"/>
        </w:rPr>
      </w:pPr>
      <w:r>
        <w:rPr>
          <w:rFonts w:ascii="宋体" w:hAnsi="宋体" w:eastAsia="宋体" w:cs="宋体"/>
          <w:color w:val="000000"/>
        </w:rPr>
        <w:t>不同土岩镶嵌方式会改变土壤的孔隙度。全埋、半埋和覆盖方式下，土壤的孔隙结构不同，孔隙度影响着水分的下渗和径流情况。孔隙度大，下渗多，坡面径流量可能小；孔隙度小，下渗少，坡面径流量可能大，①正确。</w:t>
      </w:r>
    </w:p>
    <w:p w14:paraId="7A319515">
      <w:pPr>
        <w:spacing w:line="360" w:lineRule="auto"/>
        <w:jc w:val="left"/>
        <w:textAlignment w:val="center"/>
        <w:rPr>
          <w:color w:val="000000"/>
        </w:rPr>
      </w:pPr>
      <w:r>
        <w:rPr>
          <w:rFonts w:ascii="宋体" w:hAnsi="宋体" w:eastAsia="宋体" w:cs="宋体"/>
          <w:color w:val="000000"/>
        </w:rPr>
        <w:t>不同镶嵌方式下土壤的暴露面积不同。暴露面积大，直接接受降雨的面积大，产生的径流可能多；暴露面积小，产生的径流可能少，②正确。</w:t>
      </w:r>
    </w:p>
    <w:p w14:paraId="32CA418F">
      <w:pPr>
        <w:spacing w:line="360" w:lineRule="auto"/>
        <w:jc w:val="left"/>
        <w:textAlignment w:val="center"/>
        <w:rPr>
          <w:color w:val="000000"/>
        </w:rPr>
      </w:pPr>
      <w:r>
        <w:rPr>
          <w:rFonts w:ascii="宋体" w:hAnsi="宋体" w:eastAsia="宋体" w:cs="宋体"/>
          <w:color w:val="000000"/>
        </w:rPr>
        <w:t>三种镶嵌方式中母岩性质并未改变，不是导致坡面径流量差异的原因，③错误。</w:t>
      </w:r>
    </w:p>
    <w:p w14:paraId="6B693BE9">
      <w:pPr>
        <w:spacing w:line="360" w:lineRule="auto"/>
        <w:jc w:val="left"/>
        <w:textAlignment w:val="center"/>
        <w:rPr>
          <w:color w:val="000000"/>
        </w:rPr>
      </w:pPr>
      <w:r>
        <w:rPr>
          <w:rFonts w:ascii="宋体" w:hAnsi="宋体" w:eastAsia="宋体" w:cs="宋体"/>
          <w:color w:val="000000"/>
        </w:rPr>
        <w:t>三种镶嵌方式下土壤的矿物质组成也未改变，不是导致坡面径流量差异的原因，④错误。</w:t>
      </w:r>
    </w:p>
    <w:p w14:paraId="6B2129D4">
      <w:pPr>
        <w:spacing w:line="360" w:lineRule="auto"/>
        <w:jc w:val="left"/>
        <w:textAlignment w:val="center"/>
        <w:rPr>
          <w:color w:val="000000"/>
        </w:rPr>
      </w:pPr>
      <w:r>
        <w:rPr>
          <w:color w:val="000000"/>
        </w:rPr>
        <w:t>【16题详解】</w:t>
      </w:r>
    </w:p>
    <w:p w14:paraId="61F57868">
      <w:pPr>
        <w:spacing w:line="360" w:lineRule="auto"/>
        <w:jc w:val="left"/>
        <w:textAlignment w:val="center"/>
        <w:rPr>
          <w:color w:val="000000"/>
        </w:rPr>
      </w:pPr>
      <w:r>
        <w:rPr>
          <w:rFonts w:ascii="宋体" w:hAnsi="宋体" w:eastAsia="宋体" w:cs="宋体"/>
          <w:color w:val="000000"/>
        </w:rPr>
        <w:t>黄土高原黄土冲沟区主要是黄土，不存在土岩镶嵌的普遍情况，A错误。</w:t>
      </w:r>
    </w:p>
    <w:p w14:paraId="12A1FED1">
      <w:pPr>
        <w:spacing w:line="360" w:lineRule="auto"/>
        <w:jc w:val="left"/>
        <w:textAlignment w:val="center"/>
        <w:rPr>
          <w:color w:val="000000"/>
        </w:rPr>
      </w:pPr>
      <w:r>
        <w:rPr>
          <w:rFonts w:ascii="宋体" w:hAnsi="宋体" w:eastAsia="宋体" w:cs="宋体"/>
          <w:color w:val="000000"/>
        </w:rPr>
        <w:t>东北平原黑土区以黑土为主，也没有这种土岩镶嵌的典型特征，B错误。</w:t>
      </w:r>
    </w:p>
    <w:p w14:paraId="55610632">
      <w:pPr>
        <w:spacing w:line="360" w:lineRule="auto"/>
        <w:jc w:val="left"/>
        <w:textAlignment w:val="center"/>
        <w:rPr>
          <w:color w:val="000000"/>
        </w:rPr>
      </w:pPr>
      <w:r>
        <w:rPr>
          <w:rFonts w:ascii="宋体" w:hAnsi="宋体" w:eastAsia="宋体" w:cs="宋体"/>
          <w:color w:val="000000"/>
        </w:rPr>
        <w:t>云贵高原喀斯特地区，岩石广布，土壤在岩石缝隙中分布，存在大量的土岩镶嵌情况，水土流失问题较为普遍，该实验模拟的水土流失情况在此处出现最普遍，C正确。</w:t>
      </w:r>
    </w:p>
    <w:p w14:paraId="50E903A0">
      <w:pPr>
        <w:spacing w:line="360" w:lineRule="auto"/>
        <w:jc w:val="left"/>
        <w:textAlignment w:val="center"/>
        <w:rPr>
          <w:color w:val="000000"/>
        </w:rPr>
      </w:pPr>
      <w:r>
        <w:rPr>
          <w:rFonts w:ascii="宋体" w:hAnsi="宋体" w:eastAsia="宋体" w:cs="宋体"/>
          <w:color w:val="000000"/>
        </w:rPr>
        <w:t>江南丘陵红壤区主要是红壤，土岩镶嵌不是其典型特征，D错误。</w:t>
      </w:r>
    </w:p>
    <w:p w14:paraId="002C4A53">
      <w:pPr>
        <w:spacing w:line="360"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6DC61FA">
      <w:pPr>
        <w:spacing w:line="360" w:lineRule="auto"/>
        <w:jc w:val="both"/>
        <w:textAlignment w:val="center"/>
        <w:rPr>
          <w:color w:val="000000"/>
        </w:rPr>
      </w:pPr>
      <w:r>
        <w:rPr>
          <w:color w:val="000000"/>
        </w:rPr>
        <w:t xml:space="preserve">17. </w:t>
      </w:r>
      <w:r>
        <w:rPr>
          <w:rFonts w:ascii="宋体" w:hAnsi="宋体" w:eastAsia="宋体" w:cs="宋体"/>
          <w:color w:val="000000"/>
        </w:rPr>
        <w:t>阅读图文资料，完成下列要求。</w:t>
      </w:r>
    </w:p>
    <w:p w14:paraId="74753170">
      <w:pPr>
        <w:spacing w:line="360" w:lineRule="auto"/>
        <w:ind w:firstLine="420"/>
        <w:jc w:val="both"/>
        <w:textAlignment w:val="center"/>
        <w:rPr>
          <w:color w:val="000000"/>
        </w:rPr>
      </w:pPr>
      <w:r>
        <w:rPr>
          <w:rFonts w:ascii="楷体" w:hAnsi="楷体" w:eastAsia="楷体" w:cs="楷体"/>
          <w:color w:val="000000"/>
        </w:rPr>
        <w:t>贵州省某流域岩溶地貌发育。该地具有较长的煤炭（含黄铁矿）开采历史，现今煤炭矿井多已废弃。监测发现，矿井废弃后，从该流域某处泉眼溢出的泉水中铁元素含量明显增高，下图示意该泉眼附近地区废弃煤炭矿井和水文地质情况。</w:t>
      </w:r>
    </w:p>
    <w:p w14:paraId="6E06D29B">
      <w:pPr>
        <w:spacing w:line="360" w:lineRule="auto"/>
        <w:jc w:val="both"/>
        <w:textAlignment w:val="center"/>
        <w:rPr>
          <w:color w:val="000000"/>
        </w:rPr>
      </w:pPr>
      <w:r>
        <w:rPr>
          <w:color w:val="000000"/>
        </w:rPr>
        <w:drawing>
          <wp:inline distT="0" distB="0" distL="114300" distR="114300">
            <wp:extent cx="2600325" cy="13620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600325" cy="1362075"/>
                    </a:xfrm>
                    <a:prstGeom prst="rect">
                      <a:avLst/>
                    </a:prstGeom>
                  </pic:spPr>
                </pic:pic>
              </a:graphicData>
            </a:graphic>
          </wp:inline>
        </w:drawing>
      </w:r>
    </w:p>
    <w:p w14:paraId="37A46524">
      <w:pPr>
        <w:spacing w:line="360" w:lineRule="auto"/>
        <w:jc w:val="both"/>
        <w:textAlignment w:val="center"/>
        <w:rPr>
          <w:color w:val="000000"/>
        </w:rPr>
      </w:pPr>
      <w:r>
        <w:rPr>
          <w:rFonts w:ascii="宋体" w:hAnsi="宋体" w:eastAsia="宋体" w:cs="宋体"/>
          <w:color w:val="000000"/>
        </w:rPr>
        <w:t>分析矿井废弃后，泉水中铁元素含量增高的原因及富铁水体自泉眼处溢出的过程。</w:t>
      </w:r>
    </w:p>
    <w:p w14:paraId="0343FC08">
      <w:pPr>
        <w:spacing w:line="360" w:lineRule="auto"/>
        <w:textAlignment w:val="center"/>
        <w:rPr>
          <w:color w:val="000000"/>
        </w:rPr>
      </w:pPr>
      <w:r>
        <w:rPr>
          <w:color w:val="2E75B6"/>
        </w:rPr>
        <w:t>【答案】</w:t>
      </w:r>
      <w:r>
        <w:rPr>
          <w:rFonts w:ascii="宋体" w:hAnsi="宋体" w:eastAsia="宋体" w:cs="宋体"/>
          <w:color w:val="000000"/>
        </w:rPr>
        <w:t>原因：矿井废弃后，坑道积水；地下水与黄铁矿接触（反应），水体中铁元素增多。</w:t>
      </w:r>
    </w:p>
    <w:p w14:paraId="73BED95D">
      <w:pPr>
        <w:spacing w:line="360" w:lineRule="auto"/>
        <w:jc w:val="left"/>
        <w:textAlignment w:val="center"/>
        <w:rPr>
          <w:color w:val="000000"/>
        </w:rPr>
      </w:pPr>
      <w:r>
        <w:rPr>
          <w:rFonts w:ascii="宋体" w:hAnsi="宋体" w:eastAsia="宋体" w:cs="宋体"/>
          <w:color w:val="000000"/>
        </w:rPr>
        <w:t>过程：富铁积水与岩溶管道地下水混合；岩溶管道存在高差，富铁地下径流流向泉眼；泉眼位于断层破碎带，泉水自此溢出。</w:t>
      </w:r>
    </w:p>
    <w:p w14:paraId="494434EF">
      <w:pPr>
        <w:spacing w:line="360" w:lineRule="auto"/>
        <w:textAlignment w:val="center"/>
        <w:rPr>
          <w:color w:val="000000"/>
        </w:rPr>
      </w:pPr>
      <w:r>
        <w:rPr>
          <w:color w:val="2E75B6"/>
        </w:rPr>
        <w:t>【解析】</w:t>
      </w:r>
    </w:p>
    <w:p w14:paraId="139E91FB">
      <w:pPr>
        <w:spacing w:line="360" w:lineRule="auto"/>
        <w:jc w:val="left"/>
        <w:textAlignment w:val="center"/>
        <w:rPr>
          <w:color w:val="000000"/>
        </w:rPr>
      </w:pPr>
      <w:r>
        <w:rPr>
          <w:color w:val="000000"/>
        </w:rPr>
        <w:t>【详解】本题双设问，第一问，矿井废弃→泉水铁含量增高。需结合图文材料信息</w:t>
      </w:r>
      <w:r>
        <w:rPr>
          <w:rFonts w:ascii="宋体" w:hAnsi="宋体" w:eastAsia="宋体" w:cs="宋体"/>
          <w:color w:val="000000"/>
        </w:rPr>
        <w:t>“</w:t>
      </w:r>
      <w:r>
        <w:rPr>
          <w:color w:val="000000"/>
        </w:rPr>
        <w:t>贵州喀斯特岩溶地貌、含黄铁矿煤层、废弃矿井</w:t>
      </w:r>
      <w:r>
        <w:rPr>
          <w:rFonts w:ascii="宋体" w:hAnsi="宋体" w:eastAsia="宋体" w:cs="宋体"/>
          <w:color w:val="000000"/>
        </w:rPr>
        <w:t>”</w:t>
      </w:r>
      <w:r>
        <w:rPr>
          <w:color w:val="000000"/>
        </w:rPr>
        <w:t>，从废弃矿井积水条件、黄铁矿化学溶蚀含铁两方面分析。矿井开采时，会持续抽水疏干地下水，井下坑道干燥；矿井废弃后，抽水停止，坑道不再排水，大量地下水汇入、积存，形成坑内积水。矿区煤层富含黄铁矿，废弃矿井坑道长期与黄铁矿裸露岩层接触，地下水长期浸泡、发生化学反应，黄铁矿中的铁元素不断溶解进入水体，地下水铁离子浓度持续升高。</w:t>
      </w:r>
    </w:p>
    <w:p w14:paraId="1944C26D">
      <w:pPr>
        <w:spacing w:line="360" w:lineRule="auto"/>
        <w:jc w:val="left"/>
        <w:textAlignment w:val="center"/>
        <w:rPr>
          <w:color w:val="000000"/>
        </w:rPr>
      </w:pPr>
      <w:r>
        <w:rPr>
          <w:color w:val="000000"/>
        </w:rPr>
        <w:t>第二问，富铁水体从井下→泉眼溢出。需结合区域背景：贵州喀斯特地貌广布，地下溶洞、暗河、岩溶裂隙发育，地下水连通性极强，矿井水污染极易大范围扩散，并结合图示信息，从水体混合补给、地势高差驱动、断层破碎带出露溢出通道等方面分析。井下废弃坑道积水，顺着岩层裂隙、岩溶管道，与周边岩溶含水层地下水相互连通、混合，整体地下水含铁量同步升高。区域喀斯特岩溶管道发育完整，矿井分布地势更高，泉眼出露位置地势更低，地下水存在稳定水位高差，驱动富铁地下水顺着岩溶管道向下游径流。泉眼恰好位于断层破碎带，岩石裂隙发育、透水性极强，地下水运移至此受到阻挡、水位抬升，最终沿破碎裂隙、岩溶管道上升，在地表泉眼处溢出。</w:t>
      </w:r>
    </w:p>
    <w:p w14:paraId="1BD966C0">
      <w:pPr>
        <w:spacing w:line="360" w:lineRule="auto"/>
        <w:jc w:val="both"/>
        <w:textAlignment w:val="center"/>
        <w:rPr>
          <w:color w:val="000000"/>
        </w:rPr>
      </w:pPr>
      <w:r>
        <w:rPr>
          <w:color w:val="000000"/>
        </w:rPr>
        <w:t xml:space="preserve">18. </w:t>
      </w:r>
      <w:r>
        <w:rPr>
          <w:rFonts w:ascii="宋体" w:hAnsi="宋体" w:eastAsia="宋体" w:cs="宋体"/>
          <w:color w:val="000000"/>
        </w:rPr>
        <w:t>阅读图文资料，完成下列要求。</w:t>
      </w:r>
    </w:p>
    <w:p w14:paraId="79B82C21">
      <w:pPr>
        <w:spacing w:line="360" w:lineRule="auto"/>
        <w:ind w:firstLine="420"/>
        <w:jc w:val="both"/>
        <w:textAlignment w:val="center"/>
        <w:rPr>
          <w:color w:val="000000"/>
        </w:rPr>
      </w:pPr>
      <w:r>
        <w:rPr>
          <w:rFonts w:ascii="楷体" w:hAnsi="楷体" w:eastAsia="楷体" w:cs="楷体"/>
          <w:color w:val="000000"/>
        </w:rPr>
        <w:t>江西省樟树市拥有悠久的中医药文化历史，有</w:t>
      </w:r>
      <w:r>
        <w:rPr>
          <w:rFonts w:ascii="宋体" w:hAnsi="宋体" w:eastAsia="宋体" w:cs="宋体"/>
          <w:color w:val="000000"/>
        </w:rPr>
        <w:t>“</w:t>
      </w:r>
      <w:r>
        <w:rPr>
          <w:rFonts w:ascii="楷体" w:hAnsi="楷体" w:eastAsia="楷体" w:cs="楷体"/>
          <w:color w:val="000000"/>
        </w:rPr>
        <w:t>中国药都</w:t>
      </w:r>
      <w:r>
        <w:rPr>
          <w:rFonts w:ascii="宋体" w:hAnsi="宋体" w:eastAsia="宋体" w:cs="宋体"/>
          <w:color w:val="000000"/>
        </w:rPr>
        <w:t>”</w:t>
      </w:r>
      <w:r>
        <w:rPr>
          <w:rFonts w:ascii="楷体" w:hAnsi="楷体" w:eastAsia="楷体" w:cs="楷体"/>
          <w:color w:val="000000"/>
        </w:rPr>
        <w:t>之称，位于其西南部丘陵区的</w:t>
      </w:r>
      <w:r>
        <w:rPr>
          <w:rFonts w:ascii="Times New Roman" w:hAnsi="Times New Roman" w:eastAsia="Times New Roman" w:cs="Times New Roman"/>
          <w:color w:val="000000"/>
        </w:rPr>
        <w:t>S</w:t>
      </w:r>
      <w:r>
        <w:rPr>
          <w:rFonts w:ascii="楷体" w:hAnsi="楷体" w:eastAsia="楷体" w:cs="楷体"/>
          <w:color w:val="000000"/>
        </w:rPr>
        <w:t>园艺场种有多种中草药，种植面积达七千余亩。</w:t>
      </w:r>
      <w:r>
        <w:rPr>
          <w:rFonts w:ascii="Times New Roman" w:hAnsi="Times New Roman" w:eastAsia="Times New Roman" w:cs="Times New Roman"/>
          <w:color w:val="000000"/>
        </w:rPr>
        <w:t>2024</w:t>
      </w:r>
      <w:r>
        <w:rPr>
          <w:rFonts w:ascii="楷体" w:hAnsi="楷体" w:eastAsia="楷体" w:cs="楷体"/>
          <w:color w:val="000000"/>
        </w:rPr>
        <w:t>年，该园艺场在气象部门、高校和相关企业支持下，建立了多个气象观测点，将气象要素深度融入中药材产业中，建成为全国首个</w:t>
      </w:r>
      <w:r>
        <w:rPr>
          <w:rFonts w:ascii="宋体" w:hAnsi="宋体" w:eastAsia="宋体" w:cs="宋体"/>
          <w:color w:val="000000"/>
        </w:rPr>
        <w:t>“</w:t>
      </w:r>
      <w:r>
        <w:rPr>
          <w:rFonts w:ascii="楷体" w:hAnsi="楷体" w:eastAsia="楷体" w:cs="楷体"/>
          <w:color w:val="000000"/>
        </w:rPr>
        <w:t>中药气象小镇</w:t>
      </w:r>
      <w:r>
        <w:rPr>
          <w:rFonts w:ascii="宋体" w:hAnsi="宋体" w:eastAsia="宋体" w:cs="宋体"/>
          <w:color w:val="000000"/>
        </w:rPr>
        <w:t>”</w:t>
      </w:r>
      <w:r>
        <w:rPr>
          <w:rFonts w:ascii="楷体" w:hAnsi="楷体" w:eastAsia="楷体" w:cs="楷体"/>
          <w:color w:val="000000"/>
        </w:rPr>
        <w:t>，实现了药材提质增产及旅游增收。其所打造的</w:t>
      </w:r>
      <w:r>
        <w:rPr>
          <w:rFonts w:ascii="宋体" w:hAnsi="宋体" w:eastAsia="宋体" w:cs="宋体"/>
          <w:color w:val="000000"/>
        </w:rPr>
        <w:t>“</w:t>
      </w:r>
      <w:r>
        <w:rPr>
          <w:rFonts w:ascii="楷体" w:hAnsi="楷体" w:eastAsia="楷体" w:cs="楷体"/>
          <w:color w:val="000000"/>
        </w:rPr>
        <w:t>气象</w:t>
      </w:r>
      <w:r>
        <w:rPr>
          <w:rFonts w:ascii="Times New Roman" w:hAnsi="Times New Roman" w:eastAsia="Times New Roman" w:cs="Times New Roman"/>
          <w:color w:val="000000"/>
        </w:rPr>
        <w:t>+</w:t>
      </w:r>
      <w:r>
        <w:rPr>
          <w:rFonts w:ascii="楷体" w:hAnsi="楷体" w:eastAsia="楷体" w:cs="楷体"/>
          <w:color w:val="000000"/>
        </w:rPr>
        <w:t>中药</w:t>
      </w:r>
      <w:r>
        <w:rPr>
          <w:rFonts w:ascii="Times New Roman" w:hAnsi="Times New Roman" w:eastAsia="Times New Roman" w:cs="Times New Roman"/>
          <w:color w:val="000000"/>
        </w:rPr>
        <w:t>+</w:t>
      </w:r>
      <w:r>
        <w:rPr>
          <w:rFonts w:ascii="楷体" w:hAnsi="楷体" w:eastAsia="楷体" w:cs="楷体"/>
          <w:color w:val="000000"/>
        </w:rPr>
        <w:t>文旅</w:t>
      </w:r>
      <w:r>
        <w:rPr>
          <w:rFonts w:ascii="宋体" w:hAnsi="宋体" w:eastAsia="宋体" w:cs="宋体"/>
          <w:color w:val="000000"/>
        </w:rPr>
        <w:t>”</w:t>
      </w:r>
      <w:r>
        <w:rPr>
          <w:rFonts w:ascii="楷体" w:hAnsi="楷体" w:eastAsia="楷体" w:cs="楷体"/>
          <w:color w:val="000000"/>
        </w:rPr>
        <w:t>融合发展模式具有一定的推广价值。下图示意该园艺场地理位置及地形。</w:t>
      </w:r>
    </w:p>
    <w:p w14:paraId="1B7E6181">
      <w:pPr>
        <w:spacing w:line="360" w:lineRule="auto"/>
        <w:jc w:val="both"/>
        <w:textAlignment w:val="center"/>
        <w:rPr>
          <w:color w:val="000000"/>
        </w:rPr>
      </w:pPr>
      <w:r>
        <w:rPr>
          <w:color w:val="000000"/>
        </w:rPr>
        <w:drawing>
          <wp:inline distT="0" distB="0" distL="114300" distR="114300">
            <wp:extent cx="5172075" cy="2428875"/>
            <wp:effectExtent l="0" t="0" r="9525" b="9525"/>
            <wp:docPr id="247992664" name="图片 24799266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992664" name="图片 247992664"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172075" cy="2428875"/>
                    </a:xfrm>
                    <a:prstGeom prst="rect">
                      <a:avLst/>
                    </a:prstGeom>
                  </pic:spPr>
                </pic:pic>
              </a:graphicData>
            </a:graphic>
          </wp:inline>
        </w:drawing>
      </w:r>
    </w:p>
    <w:p w14:paraId="1E7099B6">
      <w:pPr>
        <w:spacing w:line="360" w:lineRule="auto"/>
        <w:jc w:val="left"/>
        <w:textAlignment w:val="center"/>
        <w:rPr>
          <w:color w:val="000000"/>
        </w:rPr>
      </w:pPr>
      <w:r>
        <w:rPr>
          <w:color w:val="000000"/>
        </w:rPr>
        <w:t>（1）</w:t>
      </w:r>
      <w:r>
        <w:rPr>
          <w:rFonts w:ascii="宋体" w:hAnsi="宋体" w:eastAsia="宋体" w:cs="宋体"/>
          <w:color w:val="000000"/>
        </w:rPr>
        <w:t>从气象条件与中草药种植关系的角度，分析</w:t>
      </w:r>
      <w:r>
        <w:rPr>
          <w:rFonts w:ascii="Times New Roman" w:hAnsi="Times New Roman" w:eastAsia="Times New Roman" w:cs="Times New Roman"/>
          <w:color w:val="000000"/>
        </w:rPr>
        <w:t>S</w:t>
      </w:r>
      <w:r>
        <w:rPr>
          <w:rFonts w:ascii="宋体" w:hAnsi="宋体" w:eastAsia="宋体" w:cs="宋体"/>
          <w:color w:val="000000"/>
        </w:rPr>
        <w:t>园艺场建立多个气象观测点的必要性。</w:t>
      </w:r>
    </w:p>
    <w:p w14:paraId="6BB58287">
      <w:pPr>
        <w:spacing w:line="360" w:lineRule="auto"/>
        <w:jc w:val="left"/>
        <w:textAlignment w:val="center"/>
        <w:rPr>
          <w:color w:val="000000"/>
        </w:rPr>
      </w:pPr>
      <w:r>
        <w:rPr>
          <w:color w:val="000000"/>
        </w:rPr>
        <w:t>（2）</w:t>
      </w:r>
      <w:r>
        <w:rPr>
          <w:rFonts w:ascii="宋体" w:hAnsi="宋体" w:eastAsia="宋体" w:cs="宋体"/>
          <w:color w:val="000000"/>
        </w:rPr>
        <w:t>“中药气象小镇”建成后，该园艺场哪些方面的区位条件得以改善？请说明理由。</w:t>
      </w:r>
    </w:p>
    <w:p w14:paraId="2041FC20">
      <w:pPr>
        <w:spacing w:line="360" w:lineRule="auto"/>
        <w:jc w:val="left"/>
        <w:textAlignment w:val="center"/>
        <w:rPr>
          <w:color w:val="000000"/>
        </w:rPr>
      </w:pPr>
      <w:r>
        <w:rPr>
          <w:color w:val="000000"/>
        </w:rPr>
        <w:t>（3）</w:t>
      </w:r>
      <w:r>
        <w:rPr>
          <w:rFonts w:ascii="宋体" w:hAnsi="宋体" w:eastAsia="宋体" w:cs="宋体"/>
          <w:color w:val="000000"/>
        </w:rPr>
        <w:t>浙江省</w:t>
      </w:r>
      <w:r>
        <w:rPr>
          <w:rFonts w:ascii="Times New Roman" w:hAnsi="Times New Roman" w:eastAsia="Times New Roman" w:cs="Times New Roman"/>
          <w:color w:val="000000"/>
        </w:rPr>
        <w:t>Y</w:t>
      </w:r>
      <w:r>
        <w:rPr>
          <w:rFonts w:ascii="宋体" w:hAnsi="宋体" w:eastAsia="宋体" w:cs="宋体"/>
          <w:color w:val="000000"/>
        </w:rPr>
        <w:t>镇（上图）有大量银杏树和多样的岩溶、构造地貌，</w:t>
      </w:r>
      <w:r>
        <w:rPr>
          <w:rFonts w:ascii="Times New Roman" w:hAnsi="Times New Roman" w:eastAsia="Times New Roman" w:cs="Times New Roman"/>
          <w:color w:val="000000"/>
        </w:rPr>
        <w:t>2021</w:t>
      </w:r>
      <w:r>
        <w:rPr>
          <w:rFonts w:ascii="宋体" w:hAnsi="宋体" w:eastAsia="宋体" w:cs="宋体"/>
          <w:color w:val="000000"/>
        </w:rPr>
        <w:t>年被评为国家地质文化镇。有人建议，该镇可借鉴江西省</w:t>
      </w:r>
      <w:r>
        <w:rPr>
          <w:rFonts w:ascii="Times New Roman" w:hAnsi="Times New Roman" w:eastAsia="Times New Roman" w:cs="Times New Roman"/>
          <w:color w:val="000000"/>
        </w:rPr>
        <w:t>S</w:t>
      </w:r>
      <w:r>
        <w:rPr>
          <w:rFonts w:ascii="宋体" w:hAnsi="宋体" w:eastAsia="宋体" w:cs="宋体"/>
          <w:color w:val="000000"/>
        </w:rPr>
        <w:t>园艺场“中药气象小镇”建设经验，打造“地质</w:t>
      </w:r>
      <w:r>
        <w:rPr>
          <w:rFonts w:ascii="Times New Roman" w:hAnsi="Times New Roman" w:eastAsia="Times New Roman" w:cs="Times New Roman"/>
          <w:color w:val="000000"/>
        </w:rPr>
        <w:t>+</w:t>
      </w:r>
      <w:r>
        <w:rPr>
          <w:rFonts w:ascii="宋体" w:hAnsi="宋体" w:eastAsia="宋体" w:cs="宋体"/>
          <w:color w:val="000000"/>
        </w:rPr>
        <w:t>银杏</w:t>
      </w:r>
      <w:r>
        <w:rPr>
          <w:rFonts w:ascii="Times New Roman" w:hAnsi="Times New Roman" w:eastAsia="Times New Roman" w:cs="Times New Roman"/>
          <w:color w:val="000000"/>
        </w:rPr>
        <w:t>+</w:t>
      </w:r>
      <w:r>
        <w:rPr>
          <w:rFonts w:ascii="宋体" w:hAnsi="宋体" w:eastAsia="宋体" w:cs="宋体"/>
          <w:color w:val="000000"/>
        </w:rPr>
        <w:t>文旅”新发展模式，以期进一步促进“农-文-旅”深度融合。请从</w:t>
      </w:r>
      <w:r>
        <w:rPr>
          <w:rFonts w:ascii="Times New Roman" w:hAnsi="Times New Roman" w:eastAsia="Times New Roman" w:cs="Times New Roman"/>
          <w:color w:val="000000"/>
        </w:rPr>
        <w:t>Y</w:t>
      </w:r>
      <w:r>
        <w:rPr>
          <w:rFonts w:ascii="宋体" w:hAnsi="宋体" w:eastAsia="宋体" w:cs="宋体"/>
          <w:color w:val="000000"/>
        </w:rPr>
        <w:t>镇特色资源的融合角度，说明该建议所提出的新发展模式具有的合理性。</w:t>
      </w:r>
    </w:p>
    <w:p w14:paraId="1B180CEC">
      <w:pPr>
        <w:spacing w:line="360" w:lineRule="auto"/>
        <w:textAlignment w:val="center"/>
        <w:rPr>
          <w:color w:val="000000"/>
        </w:rPr>
      </w:pPr>
      <w:r>
        <w:rPr>
          <w:color w:val="2E75B6"/>
        </w:rPr>
        <w:t>【答案】</w:t>
      </w:r>
      <w:r>
        <w:rPr>
          <w:color w:val="000000"/>
        </w:rPr>
        <w:t xml:space="preserve">（1）丘陵地形，水热条件的空间分布差异较大；草药种类多，对水热条件的需求差异大；设置多个气象站，为关注中草药的种植情况提供气象数据。    </w:t>
      </w:r>
    </w:p>
    <w:p w14:paraId="109F62E9">
      <w:pPr>
        <w:spacing w:line="360" w:lineRule="auto"/>
        <w:textAlignment w:val="center"/>
        <w:rPr>
          <w:color w:val="000000"/>
        </w:rPr>
      </w:pPr>
      <w:r>
        <w:rPr>
          <w:color w:val="000000"/>
        </w:rPr>
        <w:t>（2）技术水平：气象要素（数据）服务于中草药种植，提升农文旅产业技术含量</w:t>
      </w:r>
      <w:r>
        <w:rPr>
          <w:rFonts w:ascii="宋体" w:hAnsi="宋体" w:eastAsia="宋体" w:cs="宋体"/>
          <w:color w:val="000000"/>
        </w:rPr>
        <w:t>；</w:t>
      </w:r>
    </w:p>
    <w:p w14:paraId="6AD50187">
      <w:pPr>
        <w:spacing w:line="360" w:lineRule="auto"/>
        <w:jc w:val="left"/>
        <w:textAlignment w:val="center"/>
        <w:rPr>
          <w:color w:val="000000"/>
        </w:rPr>
      </w:pPr>
      <w:r>
        <w:rPr>
          <w:color w:val="000000"/>
        </w:rPr>
        <w:t>文化：</w:t>
      </w:r>
      <w:r>
        <w:rPr>
          <w:rFonts w:ascii="宋体" w:hAnsi="宋体" w:eastAsia="宋体" w:cs="宋体"/>
          <w:color w:val="000000"/>
        </w:rPr>
        <w:t>“</w:t>
      </w:r>
      <w:r>
        <w:rPr>
          <w:color w:val="000000"/>
        </w:rPr>
        <w:t>中药气象小镇</w:t>
      </w:r>
      <w:r>
        <w:rPr>
          <w:rFonts w:ascii="宋体" w:hAnsi="宋体" w:eastAsia="宋体" w:cs="宋体"/>
          <w:color w:val="000000"/>
        </w:rPr>
        <w:t>”</w:t>
      </w:r>
      <w:r>
        <w:rPr>
          <w:color w:val="000000"/>
        </w:rPr>
        <w:t>农文旅融合进一步弘扬中药历史文化；</w:t>
      </w:r>
    </w:p>
    <w:p w14:paraId="7E1F2B6F">
      <w:pPr>
        <w:spacing w:line="360" w:lineRule="auto"/>
        <w:jc w:val="left"/>
        <w:textAlignment w:val="center"/>
        <w:rPr>
          <w:color w:val="000000"/>
        </w:rPr>
      </w:pPr>
      <w:r>
        <w:rPr>
          <w:color w:val="000000"/>
        </w:rPr>
        <w:t>市场：药材提质增产，游客量增多，增强品牌与市场影响力；</w:t>
      </w:r>
    </w:p>
    <w:p w14:paraId="58D7FBD2">
      <w:pPr>
        <w:spacing w:line="360" w:lineRule="auto"/>
        <w:jc w:val="left"/>
        <w:textAlignment w:val="center"/>
        <w:rPr>
          <w:color w:val="000000"/>
        </w:rPr>
      </w:pPr>
      <w:r>
        <w:rPr>
          <w:color w:val="000000"/>
        </w:rPr>
        <w:t>劳动力：校-企合作，增强劳动力专业素质和服务能力；</w:t>
      </w:r>
    </w:p>
    <w:p w14:paraId="0ACECF56">
      <w:pPr>
        <w:spacing w:line="360" w:lineRule="auto"/>
        <w:jc w:val="left"/>
        <w:textAlignment w:val="center"/>
        <w:rPr>
          <w:color w:val="000000"/>
        </w:rPr>
      </w:pPr>
      <w:r>
        <w:rPr>
          <w:color w:val="000000"/>
        </w:rPr>
        <w:t xml:space="preserve">基础设施：产业融合改善了基础设施，增强了集聚效应；政策与资金：政-校-企的支持与合作，政策、资金、产业协作等条件得到优化。    </w:t>
      </w:r>
    </w:p>
    <w:p w14:paraId="3E97E903">
      <w:pPr>
        <w:spacing w:line="360" w:lineRule="auto"/>
        <w:jc w:val="left"/>
        <w:textAlignment w:val="center"/>
        <w:rPr>
          <w:color w:val="000000"/>
        </w:rPr>
      </w:pPr>
      <w:r>
        <w:rPr>
          <w:color w:val="000000"/>
        </w:rPr>
        <w:t>（3）该镇拥有独特的地质资源和优质的银杏资源；地质和银杏具有较高的融合性和地理适配度，产业融合和产业链延长，可以吸引大量游客；该镇已被评为地质文化镇，知名度高，可以利用品牌效应增强旅游吸引力。</w:t>
      </w:r>
    </w:p>
    <w:p w14:paraId="050D8844">
      <w:pPr>
        <w:spacing w:line="360" w:lineRule="auto"/>
        <w:textAlignment w:val="center"/>
        <w:rPr>
          <w:color w:val="000000"/>
        </w:rPr>
      </w:pPr>
      <w:r>
        <w:rPr>
          <w:color w:val="2E75B6"/>
        </w:rPr>
        <w:t>【解析】</w:t>
      </w:r>
    </w:p>
    <w:p w14:paraId="437AF5D6">
      <w:pPr>
        <w:spacing w:line="360" w:lineRule="auto"/>
        <w:textAlignment w:val="center"/>
        <w:rPr>
          <w:color w:val="000000"/>
        </w:rPr>
      </w:pPr>
      <w:r>
        <w:rPr>
          <w:color w:val="000000"/>
        </w:rPr>
        <w:t>【小问1详解】</w:t>
      </w:r>
    </w:p>
    <w:p w14:paraId="22B52772">
      <w:pPr>
        <w:spacing w:line="360" w:lineRule="auto"/>
        <w:jc w:val="left"/>
        <w:textAlignment w:val="center"/>
        <w:rPr>
          <w:color w:val="000000"/>
        </w:rPr>
      </w:pPr>
      <w:r>
        <w:rPr>
          <w:color w:val="000000"/>
        </w:rPr>
        <w:t>本题可根据区域丘陵地形、中药材种植两类背景，从局地气象差异、作物需求差异、产业生产需求三层推导必要性。首先，依托S园艺场地处丘陵区的地形特征，可推知丘陵起伏导致局地海拔、坡向差异大，水热、光照等气象要素空间分布不均，单一处观测点无法覆盖全域气象状况；然后，依托园艺场种植多种中草药的作物背景，可推知不同中药材生长所需气温、降水、湿度等气象条件差异显著，需要分区精准气象数据匹配种植管理；最后，依托</w:t>
      </w:r>
      <w:r>
        <w:rPr>
          <w:rFonts w:ascii="宋体" w:hAnsi="宋体" w:eastAsia="宋体" w:cs="宋体"/>
          <w:color w:val="000000"/>
        </w:rPr>
        <w:t>“</w:t>
      </w:r>
      <w:r>
        <w:rPr>
          <w:color w:val="000000"/>
        </w:rPr>
        <w:t>气象+中药</w:t>
      </w:r>
      <w:r>
        <w:rPr>
          <w:rFonts w:ascii="宋体" w:hAnsi="宋体" w:eastAsia="宋体" w:cs="宋体"/>
          <w:color w:val="000000"/>
        </w:rPr>
        <w:t>”</w:t>
      </w:r>
      <w:r>
        <w:rPr>
          <w:color w:val="000000"/>
        </w:rPr>
        <w:t>产业提质增产的发展需求，可推知多点观测能持续采集全域精细化气象数据，精准预判气象灾害、匹配药材生长周期，指导科学种植，保障药材品质与产量。</w:t>
      </w:r>
    </w:p>
    <w:p w14:paraId="220F2F27">
      <w:pPr>
        <w:spacing w:line="360" w:lineRule="auto"/>
        <w:jc w:val="left"/>
        <w:textAlignment w:val="center"/>
        <w:rPr>
          <w:color w:val="000000"/>
        </w:rPr>
      </w:pPr>
      <w:r>
        <w:rPr>
          <w:color w:val="000000"/>
        </w:rPr>
        <w:t>【小问2详解】</w:t>
      </w:r>
    </w:p>
    <w:p w14:paraId="59D2A8C5">
      <w:pPr>
        <w:spacing w:line="360" w:lineRule="auto"/>
        <w:jc w:val="left"/>
        <w:textAlignment w:val="center"/>
        <w:rPr>
          <w:color w:val="000000"/>
        </w:rPr>
      </w:pPr>
      <w:r>
        <w:rPr>
          <w:color w:val="000000"/>
        </w:rPr>
        <w:t>根据材料气象部门、高校、企业多方扶持、农文旅融合发展的背景，从技术、文化品牌、市场、劳动力、基础设施、政策资金六大维度逐层推导。</w:t>
      </w:r>
    </w:p>
    <w:p w14:paraId="1B078CBE">
      <w:pPr>
        <w:spacing w:line="360" w:lineRule="auto"/>
        <w:jc w:val="left"/>
        <w:textAlignment w:val="center"/>
        <w:rPr>
          <w:color w:val="000000"/>
        </w:rPr>
      </w:pPr>
      <w:r>
        <w:rPr>
          <w:color w:val="000000"/>
        </w:rPr>
        <w:t>技术条件：依托气象观测、高校科研技术落地的产业背景，可推知气象数据深度赋能中药材种植，引入科研技术，提升种植、文旅全产业链技术水平；</w:t>
      </w:r>
    </w:p>
    <w:p w14:paraId="68AE4C33">
      <w:pPr>
        <w:spacing w:line="360" w:lineRule="auto"/>
        <w:jc w:val="left"/>
        <w:textAlignment w:val="center"/>
        <w:rPr>
          <w:color w:val="000000"/>
        </w:rPr>
      </w:pPr>
      <w:r>
        <w:rPr>
          <w:color w:val="000000"/>
        </w:rPr>
        <w:t>文化与品牌条件：依托樟树</w:t>
      </w:r>
      <w:r>
        <w:rPr>
          <w:rFonts w:ascii="宋体" w:hAnsi="宋体" w:eastAsia="宋体" w:cs="宋体"/>
          <w:color w:val="000000"/>
        </w:rPr>
        <w:t>“</w:t>
      </w:r>
      <w:r>
        <w:rPr>
          <w:color w:val="000000"/>
        </w:rPr>
        <w:t>中国药都</w:t>
      </w:r>
      <w:r>
        <w:rPr>
          <w:rFonts w:ascii="宋体" w:hAnsi="宋体" w:eastAsia="宋体" w:cs="宋体"/>
          <w:color w:val="000000"/>
        </w:rPr>
        <w:t>”</w:t>
      </w:r>
      <w:r>
        <w:rPr>
          <w:color w:val="000000"/>
        </w:rPr>
        <w:t>中医药文化、全国首个中药气象小镇的独有定位，可推知融合气象与中医药文化，打造独特文旅IP，提升区域品牌知名度；</w:t>
      </w:r>
    </w:p>
    <w:p w14:paraId="31D51442">
      <w:pPr>
        <w:spacing w:line="360" w:lineRule="auto"/>
        <w:jc w:val="left"/>
        <w:textAlignment w:val="center"/>
        <w:rPr>
          <w:color w:val="000000"/>
        </w:rPr>
      </w:pPr>
      <w:r>
        <w:rPr>
          <w:color w:val="000000"/>
        </w:rPr>
        <w:t>市场条件：依托药材提质增产、文旅观光增收的产业成效，可推知药材产量品质提升拓宽农产品市场，特色小镇吸引游客，扩大消费市场，增强市场影响力；</w:t>
      </w:r>
    </w:p>
    <w:p w14:paraId="5FE93FB1">
      <w:pPr>
        <w:spacing w:line="360" w:lineRule="auto"/>
        <w:jc w:val="left"/>
        <w:textAlignment w:val="center"/>
        <w:rPr>
          <w:color w:val="000000"/>
        </w:rPr>
      </w:pPr>
      <w:r>
        <w:rPr>
          <w:color w:val="000000"/>
        </w:rPr>
        <w:t>劳动力条件：依托高校、企业校-企合作的协作背景，可推知开展专业种植、文旅服务培训，提升本地劳动力专业素养与产业服务能力；</w:t>
      </w:r>
    </w:p>
    <w:p w14:paraId="679AED3F">
      <w:pPr>
        <w:spacing w:line="360" w:lineRule="auto"/>
        <w:jc w:val="left"/>
        <w:textAlignment w:val="center"/>
        <w:rPr>
          <w:color w:val="000000"/>
        </w:rPr>
      </w:pPr>
      <w:r>
        <w:rPr>
          <w:color w:val="000000"/>
        </w:rPr>
        <w:t>基础设施条件：依托农文旅融合产业集聚发展的建设需求，可推知配套完善种植、观光、交通等基础设施，产业集聚效应增强；</w:t>
      </w:r>
    </w:p>
    <w:p w14:paraId="035F687D">
      <w:pPr>
        <w:spacing w:line="360" w:lineRule="auto"/>
        <w:jc w:val="left"/>
        <w:textAlignment w:val="center"/>
        <w:rPr>
          <w:color w:val="000000"/>
        </w:rPr>
      </w:pPr>
      <w:r>
        <w:rPr>
          <w:color w:val="000000"/>
        </w:rPr>
        <w:t>政策与资金条件：依托气象部门、高校、相关企业多方扶持的政策背景，可推知政-企-校协同合作，获得政策扶持、科研资金、产业协作资源，优化产业发展支撑条件。</w:t>
      </w:r>
    </w:p>
    <w:p w14:paraId="641F3356">
      <w:pPr>
        <w:spacing w:line="360" w:lineRule="auto"/>
        <w:jc w:val="left"/>
        <w:textAlignment w:val="center"/>
        <w:rPr>
          <w:color w:val="000000"/>
        </w:rPr>
      </w:pPr>
      <w:r>
        <w:rPr>
          <w:color w:val="000000"/>
        </w:rPr>
        <w:t>【小问3详解】</w:t>
      </w:r>
    </w:p>
    <w:p w14:paraId="3164330F">
      <w:pPr>
        <w:spacing w:line="360" w:lineRule="auto"/>
        <w:jc w:val="left"/>
        <w:textAlignment w:val="center"/>
        <w:rPr>
          <w:color w:val="000000"/>
        </w:rPr>
      </w:pPr>
      <w:r>
        <w:rPr>
          <w:color w:val="000000"/>
        </w:rPr>
        <w:t>依托Y镇地质、银杏两类特色资源、原有地质文化镇品牌基础，从资源互补融合、产业链延伸、品牌叠加三个层面推导合理性。首先，依托Y镇拥有多样岩溶、构造地貌的地质资源与大面积银杏农林资源的资源背景，可推知两类资源空间分布适配、景观互补，农林资源与地质景观可组合打造复合型游览路线，丰富旅游体验；然后，依托银杏兼具农林经济价值、地质资源具备科普研学价值的资源属性，可推知两类资源融合延伸产业链，同步发展银杏种植加工、地质科普观光，实现农、文、旅产业深度融合，提升综合收益；最后，依托该镇已获评国家地质文化镇的品牌基础，可推知叠加银杏农林特色资源，形成双重品牌效应，丰富旅游吸引物，扩大客源市场，提升区域旅游竞争力。</w:t>
      </w:r>
    </w:p>
    <w:p w14:paraId="261EA690">
      <w:pPr>
        <w:spacing w:line="360" w:lineRule="auto"/>
        <w:jc w:val="both"/>
        <w:textAlignment w:val="center"/>
        <w:rPr>
          <w:color w:val="000000"/>
        </w:rPr>
      </w:pPr>
      <w:r>
        <w:rPr>
          <w:color w:val="000000"/>
        </w:rPr>
        <w:t xml:space="preserve">19. </w:t>
      </w:r>
      <w:r>
        <w:rPr>
          <w:rFonts w:ascii="宋体" w:hAnsi="宋体" w:eastAsia="宋体" w:cs="宋体"/>
          <w:color w:val="000000"/>
        </w:rPr>
        <w:t>阅读图文资料，完成下列要求。</w:t>
      </w:r>
    </w:p>
    <w:p w14:paraId="6F5308E3">
      <w:pPr>
        <w:spacing w:line="360" w:lineRule="auto"/>
        <w:ind w:firstLine="420"/>
        <w:jc w:val="both"/>
        <w:textAlignment w:val="center"/>
        <w:rPr>
          <w:color w:val="000000"/>
        </w:rPr>
      </w:pPr>
      <w:r>
        <w:rPr>
          <w:rFonts w:ascii="楷体" w:hAnsi="楷体" w:eastAsia="楷体" w:cs="楷体"/>
          <w:color w:val="000000"/>
        </w:rPr>
        <w:t>位于我国西南地区乌蒙山余脉的某山区冬季多雨雾，气温常低于零摄氏度。</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上旬，该地一处高陡斜坡突发山体滑坡，滑源区位于主要由粉砂岩和粉砂质泥岩（岩性较粉砂岩软，且吸湿性较强）构成的三叠系飞仙关组地层。此次滑坡发生前已连续多日降水，有雾气从滑源区顶部宽大裂隙中冒出，呈现</w:t>
      </w:r>
      <w:r>
        <w:rPr>
          <w:rFonts w:ascii="宋体" w:hAnsi="宋体" w:eastAsia="宋体" w:cs="宋体"/>
          <w:color w:val="000000"/>
        </w:rPr>
        <w:t>“</w:t>
      </w:r>
      <w:r>
        <w:rPr>
          <w:rFonts w:ascii="楷体" w:hAnsi="楷体" w:eastAsia="楷体" w:cs="楷体"/>
          <w:color w:val="000000"/>
        </w:rPr>
        <w:t>水汽升腾</w:t>
      </w:r>
      <w:r>
        <w:rPr>
          <w:rFonts w:ascii="宋体" w:hAnsi="宋体" w:eastAsia="宋体" w:cs="宋体"/>
          <w:color w:val="000000"/>
        </w:rPr>
        <w:t>”</w:t>
      </w:r>
      <w:r>
        <w:rPr>
          <w:rFonts w:ascii="楷体" w:hAnsi="楷体" w:eastAsia="楷体" w:cs="楷体"/>
          <w:color w:val="000000"/>
        </w:rPr>
        <w:t>现象。图</w:t>
      </w:r>
      <w:r>
        <w:rPr>
          <w:rFonts w:ascii="Times New Roman" w:hAnsi="Times New Roman" w:eastAsia="Times New Roman" w:cs="Times New Roman"/>
          <w:color w:val="000000"/>
        </w:rPr>
        <w:t>1a</w:t>
      </w:r>
      <w:r>
        <w:rPr>
          <w:rFonts w:ascii="楷体" w:hAnsi="楷体" w:eastAsia="楷体" w:cs="楷体"/>
          <w:color w:val="000000"/>
        </w:rPr>
        <w:t>示意此次滑坡发生的地貌部位和地层剖面；图</w:t>
      </w:r>
      <w:r>
        <w:rPr>
          <w:rFonts w:ascii="Times New Roman" w:hAnsi="Times New Roman" w:eastAsia="Times New Roman" w:cs="Times New Roman"/>
          <w:color w:val="000000"/>
        </w:rPr>
        <w:t>1b</w:t>
      </w:r>
      <w:r>
        <w:rPr>
          <w:rFonts w:ascii="楷体" w:hAnsi="楷体" w:eastAsia="楷体" w:cs="楷体"/>
          <w:color w:val="000000"/>
        </w:rPr>
        <w:t>示意飞仙关组地层结构；图</w:t>
      </w:r>
      <w:r>
        <w:rPr>
          <w:rFonts w:ascii="Times New Roman" w:hAnsi="Times New Roman" w:eastAsia="Times New Roman" w:cs="Times New Roman"/>
          <w:color w:val="000000"/>
        </w:rPr>
        <w:t>2</w:t>
      </w:r>
      <w:r>
        <w:rPr>
          <w:rFonts w:ascii="楷体" w:hAnsi="楷体" w:eastAsia="楷体" w:cs="楷体"/>
          <w:color w:val="000000"/>
        </w:rPr>
        <w:t>反映</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月至</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月当地日降水量。</w:t>
      </w:r>
    </w:p>
    <w:p w14:paraId="6FA516D6">
      <w:pPr>
        <w:spacing w:line="360" w:lineRule="auto"/>
        <w:jc w:val="both"/>
        <w:textAlignment w:val="center"/>
        <w:rPr>
          <w:color w:val="000000"/>
        </w:rPr>
      </w:pPr>
      <w:r>
        <w:rPr>
          <w:color w:val="000000"/>
        </w:rPr>
        <w:drawing>
          <wp:inline distT="0" distB="0" distL="114300" distR="114300">
            <wp:extent cx="1971675" cy="31051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971675" cy="3105150"/>
                    </a:xfrm>
                    <a:prstGeom prst="rect">
                      <a:avLst/>
                    </a:prstGeom>
                  </pic:spPr>
                </pic:pic>
              </a:graphicData>
            </a:graphic>
          </wp:inline>
        </w:drawing>
      </w:r>
      <w:r>
        <w:rPr>
          <w:color w:val="000000"/>
        </w:rPr>
        <w:t xml:space="preserve">   </w:t>
      </w:r>
      <w:r>
        <w:rPr>
          <w:color w:val="000000"/>
        </w:rPr>
        <w:drawing>
          <wp:inline distT="0" distB="0" distL="114300" distR="114300">
            <wp:extent cx="2762250" cy="1200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62250" cy="1200150"/>
                    </a:xfrm>
                    <a:prstGeom prst="rect">
                      <a:avLst/>
                    </a:prstGeom>
                  </pic:spPr>
                </pic:pic>
              </a:graphicData>
            </a:graphic>
          </wp:inline>
        </w:drawing>
      </w:r>
    </w:p>
    <w:p w14:paraId="520E3025">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1a</w:t>
      </w:r>
      <w:r>
        <w:rPr>
          <w:rFonts w:ascii="宋体" w:hAnsi="宋体" w:eastAsia="宋体" w:cs="宋体"/>
          <w:color w:val="000000"/>
        </w:rPr>
        <w:t>所示</w:t>
      </w:r>
      <w:r>
        <w:rPr>
          <w:rFonts w:ascii="Times New Roman" w:hAnsi="Times New Roman" w:eastAsia="Times New Roman" w:cs="Times New Roman"/>
          <w:color w:val="000000"/>
        </w:rPr>
        <w:t>7</w:t>
      </w:r>
      <w:r>
        <w:rPr>
          <w:rFonts w:ascii="宋体" w:hAnsi="宋体" w:eastAsia="宋体" w:cs="宋体"/>
          <w:color w:val="000000"/>
        </w:rPr>
        <w:t>组地层中，只有</w:t>
      </w:r>
      <w:r>
        <w:rPr>
          <w:rFonts w:ascii="Times New Roman" w:hAnsi="Times New Roman" w:eastAsia="Times New Roman" w:cs="Times New Roman"/>
          <w:color w:val="000000"/>
        </w:rPr>
        <w:t>2</w:t>
      </w:r>
      <w:r>
        <w:rPr>
          <w:rFonts w:ascii="宋体" w:hAnsi="宋体" w:eastAsia="宋体" w:cs="宋体"/>
          <w:color w:val="000000"/>
        </w:rPr>
        <w:t>组属于中生代，请写出它们的名称。</w:t>
      </w:r>
    </w:p>
    <w:p w14:paraId="27923D99">
      <w:pPr>
        <w:spacing w:line="360" w:lineRule="auto"/>
        <w:jc w:val="left"/>
        <w:textAlignment w:val="center"/>
        <w:rPr>
          <w:color w:val="000000"/>
        </w:rPr>
      </w:pPr>
      <w:r>
        <w:rPr>
          <w:color w:val="000000"/>
        </w:rPr>
        <w:t>（2）</w:t>
      </w:r>
      <w:r>
        <w:rPr>
          <w:rFonts w:ascii="宋体" w:hAnsi="宋体" w:eastAsia="宋体" w:cs="宋体"/>
          <w:color w:val="000000"/>
        </w:rPr>
        <w:t>根据图</w:t>
      </w:r>
      <w:r>
        <w:rPr>
          <w:rFonts w:ascii="Times New Roman" w:hAnsi="Times New Roman" w:eastAsia="Times New Roman" w:cs="Times New Roman"/>
          <w:color w:val="000000"/>
        </w:rPr>
        <w:t>1a</w:t>
      </w:r>
      <w:r>
        <w:rPr>
          <w:rFonts w:ascii="宋体" w:hAnsi="宋体" w:eastAsia="宋体" w:cs="宋体"/>
          <w:color w:val="000000"/>
        </w:rPr>
        <w:t>，分析此次滑坡所在谷地的形成原因。</w:t>
      </w:r>
    </w:p>
    <w:p w14:paraId="46179E29">
      <w:pPr>
        <w:spacing w:line="360" w:lineRule="auto"/>
        <w:jc w:val="left"/>
        <w:textAlignment w:val="center"/>
        <w:rPr>
          <w:color w:val="000000"/>
        </w:rPr>
      </w:pPr>
      <w:r>
        <w:rPr>
          <w:color w:val="000000"/>
        </w:rPr>
        <w:t>（3）</w:t>
      </w:r>
      <w:r>
        <w:rPr>
          <w:rFonts w:ascii="宋体" w:hAnsi="宋体" w:eastAsia="宋体" w:cs="宋体"/>
          <w:color w:val="000000"/>
        </w:rPr>
        <w:t>阐述图</w:t>
      </w:r>
      <w:r>
        <w:rPr>
          <w:rFonts w:ascii="Times New Roman" w:hAnsi="Times New Roman" w:eastAsia="Times New Roman" w:cs="Times New Roman"/>
          <w:color w:val="000000"/>
        </w:rPr>
        <w:t>1b</w:t>
      </w:r>
      <w:r>
        <w:rPr>
          <w:rFonts w:ascii="宋体" w:hAnsi="宋体" w:eastAsia="宋体" w:cs="宋体"/>
          <w:color w:val="000000"/>
        </w:rPr>
        <w:t>中飞仙关组地层结构和岩性特征对此次滑坡的诱发作用。</w:t>
      </w:r>
    </w:p>
    <w:p w14:paraId="4D01742C">
      <w:pPr>
        <w:spacing w:line="360" w:lineRule="auto"/>
        <w:jc w:val="left"/>
        <w:textAlignment w:val="center"/>
        <w:rPr>
          <w:color w:val="000000"/>
        </w:rPr>
      </w:pPr>
      <w:r>
        <w:rPr>
          <w:color w:val="000000"/>
        </w:rPr>
        <w:t>（4）</w:t>
      </w:r>
      <w:r>
        <w:rPr>
          <w:rFonts w:ascii="宋体" w:hAnsi="宋体" w:eastAsia="宋体" w:cs="宋体"/>
          <w:color w:val="000000"/>
        </w:rPr>
        <w:t>解释此次滑坡发生前滑源区顶部裂隙处“水汽升腾”现象的发生机理。</w:t>
      </w:r>
    </w:p>
    <w:p w14:paraId="6896432E">
      <w:pPr>
        <w:spacing w:line="360" w:lineRule="auto"/>
        <w:textAlignment w:val="center"/>
        <w:rPr>
          <w:color w:val="000000"/>
        </w:rPr>
      </w:pPr>
      <w:r>
        <w:rPr>
          <w:color w:val="2E75B6"/>
        </w:rPr>
        <w:t>【答案】</w:t>
      </w:r>
      <w:r>
        <w:rPr>
          <w:color w:val="000000"/>
        </w:rPr>
        <w:t xml:space="preserve">（1）三叠系；侏罗系。    </w:t>
      </w:r>
    </w:p>
    <w:p w14:paraId="765E0956">
      <w:pPr>
        <w:spacing w:line="360" w:lineRule="auto"/>
        <w:textAlignment w:val="center"/>
        <w:rPr>
          <w:color w:val="000000"/>
        </w:rPr>
      </w:pPr>
      <w:r>
        <w:rPr>
          <w:color w:val="000000"/>
        </w:rPr>
        <w:t xml:space="preserve">（2）该谷地位于背斜顶部，受到较强张力作用；岩石易风化破碎， 后期遭受侵蚀形成负地形（背斜谷）。    </w:t>
      </w:r>
    </w:p>
    <w:p w14:paraId="4124E401">
      <w:pPr>
        <w:spacing w:line="360" w:lineRule="auto"/>
        <w:textAlignment w:val="center"/>
        <w:rPr>
          <w:color w:val="000000"/>
        </w:rPr>
      </w:pPr>
      <w:r>
        <w:rPr>
          <w:color w:val="000000"/>
        </w:rPr>
        <w:t xml:space="preserve">（3）软硬岩层互层，存在差异风化，联结性较差（裂隙发育）；粉砂质泥岩吸湿性较强，遇水易软化（形成润滑层）；软岩易在上覆岩体挤压下发生蠕变破坏（形变)，导致岩体失稳，促使滑坡发生。    </w:t>
      </w:r>
    </w:p>
    <w:p w14:paraId="3426BAF1">
      <w:pPr>
        <w:spacing w:line="360" w:lineRule="auto"/>
        <w:textAlignment w:val="center"/>
        <w:rPr>
          <w:color w:val="000000"/>
        </w:rPr>
      </w:pPr>
      <w:r>
        <w:rPr>
          <w:color w:val="000000"/>
        </w:rPr>
        <w:t>（4）顶部温度较裂隙中低，裂隙中空气受热上升；顶部地表空气流动更快，气压较裂隙中低，利于裂隙中水汽上升；裂隙中水汽向上运动冒出地表，遇冷凝结，形成水汽升腾现象。</w:t>
      </w:r>
    </w:p>
    <w:p w14:paraId="648EE091">
      <w:pPr>
        <w:spacing w:line="360" w:lineRule="auto"/>
        <w:textAlignment w:val="center"/>
        <w:rPr>
          <w:color w:val="000000"/>
        </w:rPr>
      </w:pPr>
      <w:r>
        <w:rPr>
          <w:color w:val="2E75B6"/>
        </w:rPr>
        <w:t>【解析】</w:t>
      </w:r>
    </w:p>
    <w:p w14:paraId="45B48C35">
      <w:pPr>
        <w:spacing w:line="360" w:lineRule="auto"/>
        <w:textAlignment w:val="center"/>
        <w:rPr>
          <w:color w:val="000000"/>
        </w:rPr>
      </w:pPr>
      <w:r>
        <w:rPr>
          <w:color w:val="000000"/>
        </w:rPr>
        <w:t>【小问1详解】</w:t>
      </w:r>
    </w:p>
    <w:p w14:paraId="2EBA14BB">
      <w:pPr>
        <w:spacing w:line="360" w:lineRule="auto"/>
        <w:jc w:val="left"/>
        <w:textAlignment w:val="center"/>
        <w:rPr>
          <w:color w:val="000000"/>
        </w:rPr>
      </w:pPr>
      <w:r>
        <w:rPr>
          <w:color w:val="000000"/>
        </w:rPr>
        <w:t>本题问题的关键词为中生代，地质年代中生代包含三叠系、侏罗系、白垩系，图1给出7套地层里仅三叠系（T）、侏罗系（J）属于中生代，其余均为古生代地层。</w:t>
      </w:r>
    </w:p>
    <w:p w14:paraId="41EE9BE4">
      <w:pPr>
        <w:spacing w:line="360" w:lineRule="auto"/>
        <w:jc w:val="left"/>
        <w:textAlignment w:val="center"/>
        <w:rPr>
          <w:color w:val="000000"/>
        </w:rPr>
      </w:pPr>
      <w:r>
        <w:rPr>
          <w:color w:val="000000"/>
        </w:rPr>
        <w:t>【小问2详解】</w:t>
      </w:r>
    </w:p>
    <w:p w14:paraId="4EA77D93">
      <w:pPr>
        <w:spacing w:line="360" w:lineRule="auto"/>
        <w:jc w:val="left"/>
        <w:textAlignment w:val="center"/>
        <w:rPr>
          <w:color w:val="000000"/>
        </w:rPr>
      </w:pPr>
      <w:r>
        <w:rPr>
          <w:color w:val="000000"/>
        </w:rPr>
        <w:t>本题问题的关键词为谷地，破题关键信息为背斜谷，此次滑坡所在谷地位于背斜顶部。背斜拱起过程中顶部岩层受张力，裂隙发育、岩石破碎；破碎岩石抗侵蚀能力弱，长期流水风化、侵蚀剥离顶部岩层，背斜顶部被侵蚀下凹，形成谷地（背斜谷，负地形）。</w:t>
      </w:r>
    </w:p>
    <w:p w14:paraId="112C9807">
      <w:pPr>
        <w:spacing w:line="360" w:lineRule="auto"/>
        <w:jc w:val="left"/>
        <w:textAlignment w:val="center"/>
        <w:rPr>
          <w:color w:val="000000"/>
        </w:rPr>
      </w:pPr>
      <w:r>
        <w:rPr>
          <w:color w:val="000000"/>
        </w:rPr>
        <w:t>【小问3详解】</w:t>
      </w:r>
    </w:p>
    <w:p w14:paraId="6B043D94">
      <w:pPr>
        <w:spacing w:line="360" w:lineRule="auto"/>
        <w:jc w:val="left"/>
        <w:textAlignment w:val="center"/>
        <w:rPr>
          <w:color w:val="000000"/>
        </w:rPr>
      </w:pPr>
      <w:r>
        <w:rPr>
          <w:color w:val="000000"/>
        </w:rPr>
        <w:t>本题问题的关键词为滑坡成因，破题关键信息为地层结构、岩性特性。</w:t>
      </w:r>
    </w:p>
    <w:p w14:paraId="6CB52EEB">
      <w:pPr>
        <w:spacing w:line="360" w:lineRule="auto"/>
        <w:jc w:val="left"/>
        <w:textAlignment w:val="center"/>
        <w:rPr>
          <w:color w:val="000000"/>
        </w:rPr>
      </w:pPr>
      <w:r>
        <w:rPr>
          <w:color w:val="000000"/>
        </w:rPr>
        <w:t>材料提及飞仙关组地层存在软硬岩层互层情况，推出差异风化，使得岩层联结性变差，裂隙发育。再根据粉砂质泥岩吸湿性强，遇水容易软化，形成润滑层，而软岩在上覆岩体挤压下易发生岩体失稳。</w:t>
      </w:r>
    </w:p>
    <w:p w14:paraId="7084DCC0">
      <w:pPr>
        <w:spacing w:line="360" w:lineRule="auto"/>
        <w:jc w:val="left"/>
        <w:textAlignment w:val="center"/>
        <w:rPr>
          <w:color w:val="000000"/>
        </w:rPr>
      </w:pPr>
      <w:r>
        <w:rPr>
          <w:color w:val="000000"/>
        </w:rPr>
        <w:t>【小问4详解】</w:t>
      </w:r>
    </w:p>
    <w:p w14:paraId="6CDCC2F0">
      <w:pPr>
        <w:spacing w:line="360" w:lineRule="auto"/>
        <w:jc w:val="left"/>
        <w:textAlignment w:val="center"/>
        <w:rPr>
          <w:color w:val="000000"/>
        </w:rPr>
      </w:pPr>
      <w:r>
        <w:rPr>
          <w:color w:val="000000"/>
        </w:rPr>
        <w:t>本题问题的关键词为水汽升腾，破题关键为水汽运动机制。材料提及该地气温常低于零摄氏度，山体顶部地表温度更低，裂隙内部水体温度高于表层，裂隙内热空气受热向上运动；同时，顶部地表空气流动更快，气压较裂隙中低，这种气压差利于裂隙中水汽上升。最终推出裂隙中水汽遇冷凝结，从而形成</w:t>
      </w:r>
      <w:r>
        <w:rPr>
          <w:rFonts w:ascii="宋体" w:hAnsi="宋体" w:eastAsia="宋体" w:cs="宋体"/>
          <w:color w:val="000000"/>
        </w:rPr>
        <w:t>“</w:t>
      </w:r>
      <w:r>
        <w:rPr>
          <w:color w:val="000000"/>
        </w:rPr>
        <w:t>水汽升腾</w:t>
      </w:r>
      <w:r>
        <w:rPr>
          <w:rFonts w:ascii="宋体" w:hAnsi="宋体" w:eastAsia="宋体" w:cs="宋体"/>
          <w:color w:val="000000"/>
        </w:rPr>
        <w:t>”</w:t>
      </w:r>
      <w:r>
        <w:rPr>
          <w:color w:val="000000"/>
        </w:rPr>
        <w:t>现象。</w:t>
      </w:r>
    </w:p>
    <w:p w14:paraId="3558BF10">
      <w:pPr>
        <w:spacing w:line="360" w:lineRule="auto"/>
        <w:jc w:val="both"/>
        <w:textAlignment w:val="center"/>
        <w:rPr>
          <w:color w:val="000000"/>
        </w:rPr>
      </w:pPr>
    </w:p>
    <w:p w14:paraId="2BFEF8FB">
      <w:pPr>
        <w:spacing w:line="360" w:lineRule="auto"/>
        <w:jc w:val="left"/>
        <w:textAlignment w:val="center"/>
        <w:rPr>
          <w:color w:val="000000"/>
        </w:rPr>
      </w:pPr>
      <w:r>
        <w:rPr>
          <w:color w:val="000000"/>
        </w:rPr>
        <w:br w:type="textWrapping"/>
      </w:r>
    </w:p>
    <w:p w14:paraId="79EBCF2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3E472">
    <w:pPr>
      <w:tabs>
        <w:tab w:val="center" w:pos="4153"/>
        <w:tab w:val="right" w:pos="8306"/>
      </w:tabs>
      <w:snapToGrid w:val="0"/>
      <w:jc w:val="left"/>
      <w:rPr>
        <w:rFonts w:hint="eastAsia" w:eastAsia="宋体" w:cs="Times New Roman"/>
        <w:kern w:val="0"/>
        <w:sz w:val="2"/>
        <w:szCs w:val="2"/>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D5401">
    <w:pPr>
      <w:pBdr>
        <w:bottom w:val="none" w:color="auto" w:sz="0" w:space="1"/>
      </w:pBdr>
      <w:snapToGrid w:val="0"/>
      <w:rPr>
        <w:rFonts w:hint="eastAsia" w:eastAsia="宋体" w:cs="Times New Roman"/>
        <w:kern w:val="0"/>
        <w:sz w:val="2"/>
        <w:szCs w:val="2"/>
        <w:lang w:eastAsia="zh-CN"/>
      </w:rPr>
    </w:pPr>
    <w:bookmarkStart w:id="0" w:name="_GoBack"/>
  </w:p>
  <w:bookmarkEnd w:i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9715A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6367</Words>
  <Characters>6666</Characters>
  <Lines>0</Lines>
  <Paragraphs>0</Paragraphs>
  <TotalTime>5</TotalTime>
  <ScaleCrop>false</ScaleCrop>
  <LinksUpToDate>false</LinksUpToDate>
  <CharactersWithSpaces>6914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2026-06-30T13:22:00Z</dcterms:created>
  <dc:creator>学科网试题生产平台</dc:creator>
  <dc:description>4016735143920640</dc:description>
  <cp:lastModifiedBy>王道楷</cp:lastModifiedBy>
  <dcterms:modified xsi:type="dcterms:W3CDTF">2026-07-03T07:51:05Z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eyJoZGlkIjoiMzljNjc1NGYxNjVlNjI1YTg1MWIzZmQ3ZDZmYjI3OGEiLCJ1c2VySWQiOiI4MjY4ODYxOTQifQ==</vt:lpwstr>
  </property>
  <property fmtid="{D5CDD505-2E9C-101B-9397-08002B2CF9AE}" pid="7" name="KSOProductBuildVer">
    <vt:lpwstr>2052-12.1.0.26895</vt:lpwstr>
  </property>
  <property fmtid="{D5CDD505-2E9C-101B-9397-08002B2CF9AE}" pid="8" name="ICV">
    <vt:lpwstr>D5AEE6C78604406AA3E51CCB588D576F_12</vt:lpwstr>
  </property>
</Properties>
</file>