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ascii="宋体" w:hAnsi="宋体" w:eastAsia="宋体"/>
          <w:b/>
          <w:bCs/>
          <w:szCs w:val="21"/>
        </w:rPr>
      </w:pPr>
      <w:r>
        <w:rPr>
          <w:rFonts w:hint="eastAsia" w:ascii="宋体" w:hAnsi="宋体" w:eastAsia="宋体" w:cstheme="minorBidi"/>
          <w:b/>
          <w:bCs/>
          <w:kern w:val="2"/>
          <w:sz w:val="21"/>
          <w:szCs w:val="21"/>
          <w:lang w:val="en-US" w:eastAsia="zh-CN" w:bidi="ar-SA"/>
        </w:rPr>
        <w:t>一、</w:t>
      </w:r>
      <w:r>
        <w:rPr>
          <w:rFonts w:hint="eastAsia" w:ascii="宋体" w:hAnsi="宋体" w:eastAsia="宋体"/>
          <w:b/>
          <w:bCs/>
          <w:szCs w:val="21"/>
        </w:rPr>
        <w:t>单选题（本部分包括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25</w:t>
      </w:r>
      <w:r>
        <w:rPr>
          <w:rFonts w:hint="eastAsia" w:ascii="宋体" w:hAnsi="宋体" w:eastAsia="宋体"/>
          <w:b/>
          <w:bCs/>
          <w:szCs w:val="21"/>
        </w:rPr>
        <w:t>小题，每题2分，共计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Cs w:val="21"/>
        </w:rPr>
        <w:t>0分）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561"/>
        <w:jc w:val="left"/>
        <w:textAlignment w:val="center"/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  <w:sz w:val="21"/>
        </w:rPr>
        <w:t>广州的“卧城”指距市中心较远以居住功能为主的郊区大型社区（如番禺祈福新村、金沙洲），居民白天前往中心城区工作，夜间返回休息，形成显著的“潮汐通勤”现象。完成下面小题。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1．广州“卧城”形成的主要原因是（</w:t>
      </w:r>
      <w:r>
        <w:rPr>
          <w:rFonts w:hint="eastAsia" w:ascii="宋体" w:hAnsi="宋体" w:eastAsia="宋体" w:cs="宋体"/>
          <w:kern w:val="0"/>
          <w:sz w:val="21"/>
          <w:szCs w:val="21"/>
        </w:rPr>
        <w:t>   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A．中心城区环境污染严重，迫使居民外迁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B．郊区地价低廉，开发商大规模建设住宅区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C．政府规划将工业区集中布局在远郊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D．郊区大型社区附近就业岗位多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2．广州“卧城”面临的主要问题是（</w:t>
      </w:r>
      <w:r>
        <w:rPr>
          <w:rFonts w:hint="eastAsia" w:ascii="宋体" w:hAnsi="宋体" w:eastAsia="宋体" w:cs="宋体"/>
          <w:kern w:val="0"/>
          <w:sz w:val="21"/>
          <w:szCs w:val="21"/>
        </w:rPr>
        <w:t>   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①早晚高峰交通严重拥堵，通勤时间长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②社区医疗、教育等公共服务设施不足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③居民区与工业区混杂，环境污染加剧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④职住分离导致社区活力低下，白天空置率高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①②③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B．①③④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C．①②④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D．②③④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下图为北京时间2026年3月30日08时亚洲局部地区海平面气压分布图。读图，回答下面小题。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3855720</wp:posOffset>
            </wp:positionH>
            <wp:positionV relativeFrom="paragraph">
              <wp:posOffset>68580</wp:posOffset>
            </wp:positionV>
            <wp:extent cx="2721610" cy="1816735"/>
            <wp:effectExtent l="0" t="0" r="6350" b="12065"/>
            <wp:wrapSquare wrapText="bothSides"/>
            <wp:docPr id="100003" name="图片 100003" descr="@@@f3264918-4524-4812-9c4f-94971daf2f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f3264918-4524-4812-9c4f-94971daf2f24"/>
                    <pic:cNvPicPr>
                      <a:picLocks noChangeAspect="1"/>
                    </pic:cNvPicPr>
                  </pic:nvPicPr>
                  <pic:blipFill>
                    <a:blip r:embed="rId4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1610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3．当日上午，四地中适宜开展的学生户外活动是（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A．甲地——拍摄雨景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B．乙地——足球比赛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C．丙地——放飞风筝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D．丁地——山地骑行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4．图示时间前后一周（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A．瑞金稻田蓄水备耕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B．遵义渔民破冰捕捞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C．雅安河流正值汛期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D．会宁农户种植甘蔗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图甲示意某区域地质剖面图，图乙示意岩石圈物质循环。据此完成下面小题。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762000</wp:posOffset>
            </wp:positionH>
            <wp:positionV relativeFrom="paragraph">
              <wp:posOffset>45720</wp:posOffset>
            </wp:positionV>
            <wp:extent cx="1811655" cy="1331595"/>
            <wp:effectExtent l="0" t="0" r="1905" b="9525"/>
            <wp:wrapSquare wrapText="bothSides"/>
            <wp:docPr id="100005" name="图片 100005" descr="@@@bc6ca34f-fa31-416c-b2b7-38c9bf157a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bc6ca34f-fa31-416c-b2b7-38c9bf157af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11655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3307080</wp:posOffset>
            </wp:positionH>
            <wp:positionV relativeFrom="paragraph">
              <wp:posOffset>76200</wp:posOffset>
            </wp:positionV>
            <wp:extent cx="1639570" cy="1235710"/>
            <wp:effectExtent l="0" t="0" r="6350" b="13970"/>
            <wp:wrapSquare wrapText="bothSides"/>
            <wp:docPr id="100007" name="图片 100007" descr="@@@49343353-bd68-4d23-9053-7c0530d88f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49343353-bd68-4d23-9053-7c0530d88f8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39570" cy="1235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sz w:val="2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5．图甲中A地层褶皱后，该区域先后发生了（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A．侵蚀作用、沉积作用、岩浆侵入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B．沉积作用、侵蚀作用、岩浆侵入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C．岩浆侵入、侵蚀作用、沉积作用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D．岩浆侵入、沉积作用、侵蚀作用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6．在图乙中，与图甲B岩石成因相对应的地质作用是（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A．①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B．②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C．③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D．④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下图为我国某地的地质地貌示意图，该地多座山峰海拔超6000米。读图，回答下面小题。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both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2887345</wp:posOffset>
            </wp:positionH>
            <wp:positionV relativeFrom="paragraph">
              <wp:posOffset>47625</wp:posOffset>
            </wp:positionV>
            <wp:extent cx="3681095" cy="1781175"/>
            <wp:effectExtent l="0" t="0" r="6985" b="1905"/>
            <wp:wrapSquare wrapText="bothSides"/>
            <wp:docPr id="100009" name="图片 100009" descr="@@@6c3d77bb-8bb0-49e0-b481-3e7a1c9fb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6c3d77bb-8bb0-49e0-b481-3e7a1c9fb27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109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7．图中（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A．①处岩石为喷出岩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B．背斜形成晚于侵蚀面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C．②处发现恐龙化石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D．变质岩层内发现煤层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8．据图可知（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A．甲地河谷河漫滩宽广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B．乙处地貌由风蚀作用形成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C．丙地的坡度大于丁地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D．河流R因③处隆起而改道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我国新能源汽车产业起步于国家科技专项支持，历经二十余年发展，已成为全球最大的新能源汽车生产国与出口国。近年来，欧盟、美国等经济体对我国新能源汽车发起反补贴调查。下图为2019～2023年我国汽车全年总销量与新能源汽车渗透率变化统计图（渗透率＝新能源汽车销量／同期汽车总销量）。据此完成下面小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3463925</wp:posOffset>
            </wp:positionH>
            <wp:positionV relativeFrom="paragraph">
              <wp:posOffset>22860</wp:posOffset>
            </wp:positionV>
            <wp:extent cx="3282315" cy="1579245"/>
            <wp:effectExtent l="0" t="0" r="9525" b="5715"/>
            <wp:wrapSquare wrapText="bothSides"/>
            <wp:docPr id="100011" name="图片 100011" descr="@@@f607049e-09fc-48ea-a827-29c4df9c68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f607049e-09fc-48ea-a827-29c4df9c68ba"/>
                    <pic:cNvPicPr>
                      <a:picLocks noChangeAspect="1"/>
                    </pic:cNvPicPr>
                  </pic:nvPicPr>
                  <pic:blipFill>
                    <a:blip r:embed="rId8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315" cy="157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9．2019～2023年，我国汽车市场的变化特点是（   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A．</w:t>
      </w:r>
      <w:r>
        <w:rPr>
          <w:rFonts w:hint="eastAsia" w:ascii="宋体" w:hAnsi="宋体" w:eastAsia="宋体" w:cs="宋体"/>
          <w:sz w:val="21"/>
          <w:szCs w:val="21"/>
        </w:rPr>
        <w:t>汽车年总销量持续高速增长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B．新能源汽车渗透率逐年提升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left="0" w:leftChars="0"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C．</w:t>
      </w:r>
      <w:r>
        <w:rPr>
          <w:rFonts w:hint="eastAsia" w:ascii="宋体" w:hAnsi="宋体" w:eastAsia="宋体" w:cs="宋体"/>
          <w:sz w:val="21"/>
          <w:szCs w:val="21"/>
        </w:rPr>
        <w:t>传统燃油汽车销量逐年增加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left="0" w:leftChars="0"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D．新能源汽车销量先增加后减少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10．面对欧美国家的反补贴贸易限制，我国新能源汽车企业的最优应对策略是（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A．大幅降低出口价格，保持价格优势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B．缩减出口规模，全面转向国内市场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C．增加政府补贴，进一步降低生产成本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D．开展海外本地化生产，规避关税壁垒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3899535</wp:posOffset>
            </wp:positionH>
            <wp:positionV relativeFrom="paragraph">
              <wp:posOffset>529590</wp:posOffset>
            </wp:positionV>
            <wp:extent cx="2712720" cy="1774825"/>
            <wp:effectExtent l="0" t="0" r="0" b="8255"/>
            <wp:wrapSquare wrapText="bothSides"/>
            <wp:docPr id="100013" name="图片 100013" descr="@@@5d83421069ae42d9bf344b7fa8a892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5d83421069ae42d9bf344b7fa8a892bc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2720" cy="177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21"/>
        </w:rPr>
        <w:t>早期深圳市轨道交通网络布局与城市空间布局协同不足，造成交通通达度与土地利用强度存在资源错配。2020年以来，深圳市推动综合交通枢纽站城一体化开发建设，以轨道交通枢纽为核心，推动周边土地功能复合、高效利用。下图示意目前深圳市重点区域及配套枢纽分布概况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11．甲区域体现的深圳市资源错配关系是（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A．低可达、高强度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B．高可达、高强度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C．高可达、低强度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D．低可达、低强度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12．深圳市综合交通枢纽站城一体化开发建设有利于（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A．降低地租水平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B．城市均衡发展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C．促进旧城复兴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D．推动职住平衡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下图示意南亚地区夏季和冬季的多年平均海平面气压场（单位：百帕）及盛行风向。据此完成下面小题。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22860</wp:posOffset>
            </wp:positionV>
            <wp:extent cx="3830320" cy="1446530"/>
            <wp:effectExtent l="0" t="0" r="10160" b="1270"/>
            <wp:wrapSquare wrapText="bothSides"/>
            <wp:docPr id="100015" name="图片 100015" descr="@@@24fd3e8e-d7ca-4836-b916-6bc11844a2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24fd3e8e-d7ca-4836-b916-6bc11844a2a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30320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13．南亚地区（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①夏季风比冬季风势力强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②夏季风高温高湿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③冬季风比夏季风势力强  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④冬季风寒冷干燥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①②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B．①④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numPr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C．②③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D．③④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14．与夏季风相比，南亚冬季风与等压线夹角较大的主要原因是（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A．地转偏向力较大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B．水平气压梯度力较大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C．气流的湿度较小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D．风与地表摩擦力较大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3006090</wp:posOffset>
            </wp:positionH>
            <wp:positionV relativeFrom="paragraph">
              <wp:posOffset>771525</wp:posOffset>
            </wp:positionV>
            <wp:extent cx="2172335" cy="930275"/>
            <wp:effectExtent l="0" t="0" r="6985" b="14605"/>
            <wp:wrapSquare wrapText="bothSides"/>
            <wp:docPr id="100019" name="图片 100019" descr="@@@f170406b-6666-4299-9573-265b9832b9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f170406b-6666-4299-9573-265b9832b9a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21"/>
        </w:rPr>
        <w:t>“九九消寒图”是我国民间记日游戏，也是一种中国传统文化习俗，是一幅双钩描红书法：“亭前垂柳珍重待春风”，每字九划，九字共八十一划。从冬至开始每天按照笔画顺序填充一个笔画，每过一九填充好一个字，“九尽桃花开”，春回大地。下左图为“九九消寒图”，下右图为太阳直射点在地球表面移动示意图。完成下面小题。</w:t>
      </w:r>
    </w:p>
    <w:p>
      <w:pPr>
        <w:shd w:val="clear" w:color="auto" w:fill="auto"/>
        <w:spacing w:line="360" w:lineRule="auto"/>
        <w:jc w:val="both"/>
        <w:textAlignment w:val="center"/>
        <w:rPr>
          <w:rFonts w:hint="eastAsia" w:ascii="Times New Roman" w:hAnsi="Times New Roman" w:eastAsia="宋体" w:cs="Times New Roman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1407795</wp:posOffset>
            </wp:positionH>
            <wp:positionV relativeFrom="paragraph">
              <wp:posOffset>20955</wp:posOffset>
            </wp:positionV>
            <wp:extent cx="1029335" cy="1132840"/>
            <wp:effectExtent l="0" t="0" r="6985" b="10160"/>
            <wp:wrapSquare wrapText="bothSides"/>
            <wp:docPr id="100017" name="图片 100017" descr="@@@255f74a3-55e4-4156-a38c-a8251cba79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255f74a3-55e4-4156-a38c-a8251cba79c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29335" cy="1132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 w:cs="Times New Roman"/>
          <w:sz w:val="21"/>
        </w:rPr>
        <w:t xml:space="preserve">  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  <w:sz w:val="2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15．“九九消寒图”中“珍重”期间，北京（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A．昼夜长短变化幅度在增大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B．昼长夜短且昼渐长夜渐短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C．正午人影不断缩短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1"/>
          <w:szCs w:val="21"/>
        </w:rPr>
        <w:t>D．正午时照进室内阳光的面积不断扩大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16．“九尽桃花开”时（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A．南极点附近有极昼现象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B．太阳直射点位于①②之间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C．东北平原正值春耕开始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D．北印度洋满载石油的船只顺风顺水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下图示意某内陆地区山地自然带分布，甲、乙代表不同坡向，甲坡比乙坡更湿热。据此完成下面小题。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5280025</wp:posOffset>
            </wp:positionH>
            <wp:positionV relativeFrom="paragraph">
              <wp:posOffset>22860</wp:posOffset>
            </wp:positionV>
            <wp:extent cx="1145540" cy="1362710"/>
            <wp:effectExtent l="0" t="0" r="12700" b="8890"/>
            <wp:wrapSquare wrapText="bothSides"/>
            <wp:docPr id="100021" name="图片 100021" descr="@@@95c73e6b-28eb-4b38-bb0f-d122e7b12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95c73e6b-28eb-4b38-bb0f-d122e7b12928"/>
                    <pic:cNvPicPr>
                      <a:picLocks noChangeAspect="1"/>
                    </pic:cNvPicPr>
                  </pic:nvPicPr>
                  <pic:blipFill>
                    <a:blip r:embed="rId13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1362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17．图中E、F两处积雪期长度相同，则E处比F处积雪期（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①开始早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②开始晚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③结束早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④结束晚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B．①④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C．②③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D．②④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18．乙坡植物长势G处优于F处，原因是G处（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A．热量更充足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B．降水更丰富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C．地下水埋藏浅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D．土壤透水性好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3014980</wp:posOffset>
            </wp:positionH>
            <wp:positionV relativeFrom="paragraph">
              <wp:posOffset>327660</wp:posOffset>
            </wp:positionV>
            <wp:extent cx="3674745" cy="1701165"/>
            <wp:effectExtent l="0" t="0" r="13335" b="5715"/>
            <wp:wrapSquare wrapText="bothSides"/>
            <wp:docPr id="100023" name="图片 100023" descr="@@@17cab9d2-158c-4990-b672-323d6c94ff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17cab9d2-158c-4990-b672-323d6c94ffd0"/>
                    <pic:cNvPicPr>
                      <a:picLocks noChangeAspect="1"/>
                    </pic:cNvPicPr>
                  </pic:nvPicPr>
                  <pic:blipFill>
                    <a:blip r:embed="rId14">
                      <a:lum bright="-6000"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4745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21"/>
        </w:rPr>
        <w:t>2023年7月16日，历经十余年建设的引汉（江）济渭（河）工程正式向西安通水。图1示意该工程输水路线，图2示意局部输水地形剖面。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19．汉江和渭河的水文特征正确的是（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A．渭河的含沙量比汉江大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B．受长江干流水量的影响，汉江的流量更大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C．汉江和渭河都无结冰期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D．都受温带季风气候的影响，夏季出现汛期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20．黄金峡水库—黄池沟段调水的主要方式及原因是（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A．利用原有河道，减少工程量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B．利用隧道输水，受山地影响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C．利用管道输水，减少蒸发量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D．全程自流，地势南高北低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数九是我国古代民间一种计算寒冷天数的方法，从冬至日算起，每九天算“一九”。民间有描画九九消寒图的习俗，人们用墨笔每天晕染一瓣儿梅花，九九八十一天过后，梅花点遍，春回大地。图1为二十四节气示意图，图2为某日地球日照图，图3为九九消寒图。完成下面小题。</w:t>
      </w:r>
    </w:p>
    <w:p>
      <w:pPr>
        <w:shd w:val="clear" w:color="auto" w:fill="auto"/>
        <w:spacing w:line="360" w:lineRule="auto"/>
        <w:jc w:val="both"/>
        <w:textAlignment w:val="center"/>
        <w:rPr>
          <w:rFonts w:hint="eastAsia" w:ascii="Times New Roman" w:hAnsi="Times New Roman" w:eastAsia="宋体" w:cs="Times New Roman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62480" cy="1409065"/>
            <wp:effectExtent l="0" t="0" r="10160" b="8255"/>
            <wp:docPr id="100025" name="图片 100025" descr="@@@b89b8a5d-fd86-4001-8abd-302d1d8ed2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b89b8a5d-fd86-4001-8abd-302d1d8ed2f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62480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60830" cy="1463675"/>
            <wp:effectExtent l="0" t="0" r="8890" b="14605"/>
            <wp:docPr id="100027" name="图片 100027" descr="@@@2f59094f-eb1f-4d2b-a406-6ca9b1f3c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2f59094f-eb1f-4d2b-a406-6ca9b1f3c0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60830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10310" cy="1574800"/>
            <wp:effectExtent l="0" t="0" r="8890" b="10160"/>
            <wp:docPr id="100029" name="图片 100029" descr="@@@559a0895-68b5-475e-a9c3-1711583fbc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559a0895-68b5-475e-a9c3-1711583fbccc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21．读图2可知（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A．图2是地球公转到图1中夏至时的日照状况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B．白昼由长到短的排列顺序依次是F&gt;E&gt;C&gt;D&gt;B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C．正午太阳高度角由大到小的排序为D&gt;C&gt;E&gt;F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D．G的地方时是0时，A点的地方时是12时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22．能正确反映出数九第一天时北京太阳视运动轨迹的是（   ）</w:t>
      </w:r>
    </w:p>
    <w:p>
      <w:pPr>
        <w:shd w:val="clear" w:color="auto" w:fill="auto"/>
        <w:spacing w:line="360" w:lineRule="auto"/>
        <w:jc w:val="both"/>
        <w:textAlignment w:val="center"/>
        <w:rPr>
          <w:rFonts w:hint="eastAsia" w:ascii="Times New Roman" w:hAnsi="Times New Roman" w:eastAsia="宋体" w:cs="Times New Roman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327660</wp:posOffset>
            </wp:positionH>
            <wp:positionV relativeFrom="paragraph">
              <wp:posOffset>62865</wp:posOffset>
            </wp:positionV>
            <wp:extent cx="5904230" cy="1052195"/>
            <wp:effectExtent l="0" t="0" r="8890" b="14605"/>
            <wp:wrapSquare wrapText="bothSides"/>
            <wp:docPr id="100031" name="图片 100031" descr="@@@34cae5a8-bfad-4f1c-b482-659f1771a4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34cae5a8-bfad-4f1c-b482-659f1771a4c1"/>
                    <pic:cNvPicPr>
                      <a:picLocks noChangeAspect="1"/>
                    </pic:cNvPicPr>
                  </pic:nvPicPr>
                  <pic:blipFill>
                    <a:blip r:embed="rId18">
                      <a:lum bright="6000"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105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ind w:firstLine="379" w:firstLineChars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23．图3九九消寒图已晕染梅花20瓣，此时我国（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A．春回大地，各地可以欣赏桃花盛开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B．天安门广场升旗时间为一年中最早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C．正午物体影子达到一年中最长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D．昼短夜长，昼渐长夜渐短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科考队在广西某天坑进行植物调研时发现：天坑内不同位置都有苣苔属植物生长，但植株发育差异性显著；某处苣苔属植物的生理储水结构明显发达，具有植株粗矮、叶片厚小等特点。下图为该天坑示意图。完成下面小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4617720</wp:posOffset>
            </wp:positionH>
            <wp:positionV relativeFrom="paragraph">
              <wp:posOffset>7620</wp:posOffset>
            </wp:positionV>
            <wp:extent cx="1998345" cy="2113915"/>
            <wp:effectExtent l="0" t="0" r="13335" b="4445"/>
            <wp:wrapSquare wrapText="bothSides"/>
            <wp:docPr id="100033" name="图片 100033" descr="@@@d7a3d36f-5461-4e35-8b95-d540df11a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d7a3d36f-5461-4e35-8b95-d540df11a40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98345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24．天坑内苣苔属植物地方性分异的主要影响因素有（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①热量    ②光照    ③土层厚度    ④岩性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A．</w:t>
      </w:r>
      <w:r>
        <w:rPr>
          <w:rFonts w:hint="eastAsia" w:ascii="宋体" w:hAnsi="宋体" w:eastAsia="宋体" w:cs="宋体"/>
          <w:sz w:val="21"/>
          <w:szCs w:val="21"/>
        </w:rPr>
        <w:t>①②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B．①④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C．②③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D．③④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25．储水结构发达的苣苔属植物，最有可能生长在（   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A．甲处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B．乙处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C．丙处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ind w:firstLine="420" w:firstLineChars="200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D．丁处</w:t>
      </w:r>
    </w:p>
    <w:p>
      <w:pPr>
        <w:bidi w:val="0"/>
        <w:jc w:val="left"/>
        <w:rPr>
          <w:rFonts w:hint="default" w:ascii="宋体" w:hAnsi="宋体" w:eastAsia="宋体" w:cs="宋体"/>
          <w:b/>
          <w:i w:val="0"/>
          <w:color w:val="000000"/>
          <w:kern w:val="2"/>
          <w:sz w:val="21"/>
          <w:szCs w:val="22"/>
          <w:lang w:val="en-US" w:eastAsia="zh-CN" w:bidi="ar-SA"/>
        </w:rPr>
      </w:pPr>
    </w:p>
    <w:p>
      <w:pPr>
        <w:numPr>
          <w:ilvl w:val="0"/>
          <w:numId w:val="4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</w:rPr>
      </w:pPr>
      <w:r>
        <w:rPr>
          <w:rFonts w:hint="eastAsia" w:ascii="宋体" w:hAnsi="宋体" w:eastAsia="宋体" w:cs="Times New Roman"/>
          <w:b/>
          <w:color w:val="000000"/>
          <w:kern w:val="0"/>
        </w:rPr>
        <w:t>综合题</w:t>
      </w:r>
      <w:r>
        <w:rPr>
          <w:rFonts w:hint="eastAsia" w:ascii="宋体" w:hAnsi="宋体" w:eastAsia="宋体" w:cs="宋体"/>
          <w:b/>
          <w:i w:val="0"/>
          <w:color w:val="000000"/>
          <w:sz w:val="21"/>
        </w:rPr>
        <w:t>（本</w:t>
      </w:r>
      <w:r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  <w:t>题</w:t>
      </w:r>
      <w:r>
        <w:rPr>
          <w:rFonts w:hint="eastAsia" w:ascii="宋体" w:hAnsi="宋体" w:eastAsia="宋体" w:cs="宋体"/>
          <w:b/>
          <w:i w:val="0"/>
          <w:color w:val="000000"/>
          <w:sz w:val="21"/>
        </w:rPr>
        <w:t>有三小题，其中26题1</w:t>
      </w:r>
      <w:r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  <w:t>7</w:t>
      </w:r>
      <w:r>
        <w:rPr>
          <w:rFonts w:hint="eastAsia" w:ascii="宋体" w:hAnsi="宋体" w:eastAsia="宋体" w:cs="宋体"/>
          <w:b/>
          <w:i w:val="0"/>
          <w:color w:val="000000"/>
          <w:sz w:val="21"/>
        </w:rPr>
        <w:t>分，27题1</w:t>
      </w:r>
      <w:r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  <w:t>5</w:t>
      </w:r>
      <w:r>
        <w:rPr>
          <w:rFonts w:hint="eastAsia" w:ascii="宋体" w:hAnsi="宋体" w:eastAsia="宋体" w:cs="宋体"/>
          <w:b/>
          <w:i w:val="0"/>
          <w:color w:val="000000"/>
          <w:sz w:val="21"/>
        </w:rPr>
        <w:t>分，28题1</w:t>
      </w:r>
      <w:r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  <w:t>8</w:t>
      </w:r>
      <w:r>
        <w:rPr>
          <w:rFonts w:hint="eastAsia" w:ascii="宋体" w:hAnsi="宋体" w:eastAsia="宋体" w:cs="宋体"/>
          <w:b/>
          <w:i w:val="0"/>
          <w:color w:val="000000"/>
          <w:sz w:val="21"/>
        </w:rPr>
        <w:t>分，共50分）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26．阅读图文材料，据此完成下列要求。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冰岛（如下图）地处北大西洋，地质活动频繁，多火山。同时，冰岛约有1/8国土被冰川覆盖，是著名的“冰火之国。冰岛是欧洲人口密度最小的国家，首都雷克雅未克是冰岛的最大城市。受多种因素影响，导致冰岛降水量的区域差异显著，常规能源缺乏。</w:t>
      </w:r>
    </w:p>
    <w:p>
      <w:pPr>
        <w:shd w:val="clear" w:color="auto" w:fill="auto"/>
        <w:spacing w:line="360" w:lineRule="auto"/>
        <w:jc w:val="both"/>
        <w:textAlignment w:val="center"/>
        <w:rPr>
          <w:rFonts w:hint="eastAsia" w:ascii="Times New Roman" w:hAnsi="Times New Roman" w:eastAsia="宋体" w:cs="Times New Roman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31870" cy="1919605"/>
            <wp:effectExtent l="0" t="0" r="3810" b="635"/>
            <wp:docPr id="100035" name="图片 100035" descr="@@@e62dd0de-7717-4d3d-ac25-e591d6c83d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e62dd0de-7717-4d3d-ac25-e591d6c83d6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31870" cy="191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冰岛能源工业非常发达，指出冰岛能源工业主要利用的能源资源。</w:t>
      </w:r>
    </w:p>
    <w:p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</w:p>
    <w:p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</w:p>
    <w:p>
      <w:pPr>
        <w:numPr>
          <w:ilvl w:val="0"/>
          <w:numId w:val="5"/>
        </w:numPr>
        <w:shd w:val="clear" w:color="auto" w:fill="auto"/>
        <w:spacing w:line="360" w:lineRule="auto"/>
        <w:ind w:left="0" w:leftChars="0" w:firstLine="0" w:firstLineChars="0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分析冰岛成为“冰火之国”的自然原因。</w:t>
      </w:r>
    </w:p>
    <w:p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</w:p>
    <w:p>
      <w:pPr>
        <w:widowControl w:val="0"/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</w:p>
    <w:p>
      <w:pPr>
        <w:numPr>
          <w:ilvl w:val="0"/>
          <w:numId w:val="5"/>
        </w:numPr>
        <w:shd w:val="clear" w:color="auto" w:fill="auto"/>
        <w:spacing w:line="360" w:lineRule="auto"/>
        <w:ind w:left="0" w:leftChars="0" w:firstLine="0" w:firstLineChars="0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与东北部相比，冰岛西南部的降水更加丰沛，试分析其原因。</w:t>
      </w: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27．阅读图文材料，完成下列要求。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2023年4月沈阳都市圈获批成为全国第九个、东北第一个国家级都市圈。沈阳作为区域核心城市，常住人口接近1000万。随着都市圈的建设，老工业基地迎来新的发展机遇，但区域协同发展仍面临困境。下图为沈阳都市圈各城市主导产业及主要交通线简图。</w:t>
      </w:r>
    </w:p>
    <w:p>
      <w:pPr>
        <w:shd w:val="clear" w:color="auto" w:fill="auto"/>
        <w:spacing w:line="360" w:lineRule="auto"/>
        <w:jc w:val="both"/>
        <w:textAlignment w:val="center"/>
        <w:rPr>
          <w:rFonts w:hint="eastAsia" w:ascii="Times New Roman" w:hAnsi="Times New Roman" w:eastAsia="宋体" w:cs="Times New Roman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34715" cy="3230245"/>
            <wp:effectExtent l="0" t="0" r="9525" b="635"/>
            <wp:docPr id="100037" name="图片 100037" descr="@@@6b72b686-df13-4c82-9b72-e3b81cb9f0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6b72b686-df13-4c82-9b72-e3b81cb9f0ba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34715" cy="323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简述沈阳市成为都市圈核心城市的区位条件。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说出沈阳都市圈对沈阳市自身发展的意义。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针对区域面临的困境，结合上图为沈阳都市圈产业协同发展提出两条建议。</w:t>
      </w: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numPr>
          <w:numId w:val="0"/>
        </w:numPr>
        <w:bidi w:val="0"/>
        <w:jc w:val="left"/>
        <w:rPr>
          <w:rFonts w:hint="eastAsia" w:ascii="宋体" w:hAnsi="宋体" w:eastAsia="宋体" w:cs="宋体"/>
          <w:b/>
          <w:i w:val="0"/>
          <w:color w:val="000000"/>
          <w:sz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8．阅读图文材料，回答下列问题。</w:t>
      </w:r>
    </w:p>
    <w:p>
      <w:pPr>
        <w:shd w:val="clear" w:color="auto" w:fill="auto"/>
        <w:spacing w:line="360" w:lineRule="auto"/>
        <w:ind w:firstLine="56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hint="eastAsia" w:ascii="楷体" w:hAnsi="楷体" w:eastAsia="楷体" w:cs="楷体"/>
          <w:b/>
          <w:bCs/>
          <w:sz w:val="21"/>
        </w:rPr>
        <w:t>材料一：2025年7月，雅鲁藏布江下游水电工程项目（简称雅下水电工程）正式开工，是我国目前在建的规模最大的水电项目。工程核心区域位于雅鲁藏布江大拐弯处，雅下水电工程未在该河段选择建高坝的方案，创新性采用“截弯取直、隧洞引水”方式在米林市派镇和墨脱县希让村之间开凿一条隧洞进行引水发电，最大限度减少对生态的影响。工程电力以外送至我国中东部地区为主，兼顾西藏本地自用需求，对保障国家能源安全具有重要战略意义。</w:t>
      </w:r>
    </w:p>
    <w:p>
      <w:pPr>
        <w:shd w:val="clear" w:color="auto" w:fill="auto"/>
        <w:spacing w:line="360" w:lineRule="auto"/>
        <w:ind w:firstLine="560"/>
        <w:jc w:val="left"/>
        <w:textAlignment w:val="center"/>
        <w:rPr>
          <w:rFonts w:hint="eastAsia" w:ascii="楷体" w:hAnsi="楷体" w:eastAsia="楷体" w:cs="楷体"/>
          <w:b/>
          <w:bCs/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134620</wp:posOffset>
            </wp:positionH>
            <wp:positionV relativeFrom="paragraph">
              <wp:posOffset>297180</wp:posOffset>
            </wp:positionV>
            <wp:extent cx="2789555" cy="1751330"/>
            <wp:effectExtent l="0" t="0" r="14605" b="1270"/>
            <wp:wrapSquare wrapText="bothSides"/>
            <wp:docPr id="100039" name="图片 100039" descr="@@@052f42d4-421e-4fe2-b432-fe451b8b1b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052f42d4-421e-4fe2-b432-fe451b8b1b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89555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3145155</wp:posOffset>
            </wp:positionH>
            <wp:positionV relativeFrom="paragraph">
              <wp:posOffset>297180</wp:posOffset>
            </wp:positionV>
            <wp:extent cx="3618230" cy="1751330"/>
            <wp:effectExtent l="0" t="0" r="8890" b="1270"/>
            <wp:wrapSquare wrapText="bothSides"/>
            <wp:docPr id="100041" name="图片 100041" descr="@@@ddb047da-27b6-46a7-ac90-1c0c45fa1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ddb047da-27b6-46a7-ac90-1c0c45fa155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18230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21"/>
        </w:rPr>
        <w:t>材料二：图左示意雅下水电工程引水隧洞位置，图右为雅下水电站工程规划图。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(1)从地形和气候角度，分析该地建设水电站的有利条件。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(2)指出我国在雅鲁藏布江下游水电工程施工过程中将面临的自然挑战。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(3)与传统建高坝方式相比，简述该工程采用“截弯取直，隧洞引水”方式的生态意义。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(4)从国家能源安全角度，说明雅鲁藏布江下游水电站开发的战略意义。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</w:rPr>
              <w:t>题号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4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5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6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7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8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9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</w:rPr>
              <w:t>答案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</w:rPr>
              <w:t>题号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11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12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13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14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15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16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17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18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19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</w:rPr>
              <w:t>答案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</w:rPr>
              <w:t>题号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21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22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23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24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25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</w:rPr>
              <w:t>答案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D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26．(1)地热能，水能。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(2)冰岛地处亚欧板块与美洲板块的生长边界，地壳活动频繁，多火山；冰岛纬度较高，以山地，高原为主，海拔较高，气温低，降水丰富，冰川广布。</w:t>
      </w:r>
      <w:bookmarkStart w:id="0" w:name="_GoBack"/>
      <w:bookmarkEnd w:id="0"/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(3)冰岛西南部地处西风的迎风坡，降水丰富；西南部受北大西洋暖流影响更大，增湿作用明显；西南部气旋活动频繁，多阴雨天气。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27．(1)为东北老工业基地核心城市，工业基础雄厚，产业辐射带动能力强；是东北地区重要的交通枢纽，高速公路、铁路等交通网络密集，交通便利；人口规模大，劳动力充足，消费市场广阔；省会城市，政策支持力度大，资源集聚能力强。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(2)获得周边城市的资源、农产品等供应，拓展城市发展腹地；推动自身产业向高端化、智能化升级，疏解非核心功能，优化城市产业结构；加强与周边城市的经济、文化交流，扩大城市影响力，提升城市等级。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(3)梳理各城市产业定位，推动错位发展：沈阳重点发展高端制造、生物医药等高端产业，周边城市承接沈阳产业转移，发展配套零部件、原材料加工等产业，减少同质化竞争；完善区域交通网络，加强中部环线与各城市交通线路的衔接，提高城市间产业协作的通勤、物流效率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28．(1)地势落差大，水流湍急，水能丰富；夏季降水较多，河流径流丰沛。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(2)多地震、滑坡、泥石流等地质灾害，地质条件复杂；高海拔寒冷、多变天气；夏季暴雨山洪。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(3)避开崩塌及滑坡密集区，减轻滑坡、地震等地质灾害带来的生态破坏；减小淹没范围，减少对地表植被破坏；减少大坝对河流的完全阻断，为水生生物保留天然河道（或减轻对鱼类洄游等自然过程的干扰）。</w:t>
      </w:r>
    </w:p>
    <w:p>
      <w:pPr>
        <w:shd w:val="clear" w:color="auto" w:fill="auto"/>
        <w:spacing w:line="360" w:lineRule="auto"/>
        <w:jc w:val="left"/>
        <w:textAlignment w:val="center"/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(4)增加国内能源供应总量，减少对外依存；优化国内能源消费结构，提高清洁能源使用比例；强化“西电东送”战略，优化能源空间配置。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5" w:lineRule="atLeast"/>
        <w:jc w:val="left"/>
        <w:textAlignment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E81F87"/>
    <w:multiLevelType w:val="singleLevel"/>
    <w:tmpl w:val="88E81F87"/>
    <w:lvl w:ilvl="0" w:tentative="0">
      <w:start w:val="1"/>
      <w:numFmt w:val="upperLetter"/>
      <w:suff w:val="nothing"/>
      <w:lvlText w:val="%1．"/>
      <w:lvlJc w:val="left"/>
    </w:lvl>
  </w:abstractNum>
  <w:abstractNum w:abstractNumId="1">
    <w:nsid w:val="9340CCE1"/>
    <w:multiLevelType w:val="singleLevel"/>
    <w:tmpl w:val="9340CCE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400F35A"/>
    <w:multiLevelType w:val="singleLevel"/>
    <w:tmpl w:val="9400F35A"/>
    <w:lvl w:ilvl="0" w:tentative="0">
      <w:start w:val="1"/>
      <w:numFmt w:val="upperLetter"/>
      <w:suff w:val="nothing"/>
      <w:lvlText w:val="%1．"/>
      <w:lvlJc w:val="left"/>
    </w:lvl>
  </w:abstractNum>
  <w:abstractNum w:abstractNumId="3">
    <w:nsid w:val="4E6960A9"/>
    <w:multiLevelType w:val="singleLevel"/>
    <w:tmpl w:val="4E6960A9"/>
    <w:lvl w:ilvl="0" w:tentative="0">
      <w:start w:val="1"/>
      <w:numFmt w:val="upperLetter"/>
      <w:suff w:val="nothing"/>
      <w:lvlText w:val="%1．"/>
      <w:lvlJc w:val="left"/>
    </w:lvl>
  </w:abstractNum>
  <w:abstractNum w:abstractNumId="4">
    <w:nsid w:val="537683FA"/>
    <w:multiLevelType w:val="singleLevel"/>
    <w:tmpl w:val="537683FA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iMDY4ODc0YjIyMzBhZDI3YzhlYzcyYWRlMjEwMGUifQ=="/>
  </w:docVars>
  <w:rsids>
    <w:rsidRoot w:val="44E967A6"/>
    <w:rsid w:val="44E9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2026-08-26T00:11:00Z</dcterms:created>
  <dc:creator>十一</dc:creator>
  <cp:lastModifiedBy>十一</cp:lastModifiedBy>
  <dcterms:modified xsi:type="dcterms:W3CDTF">2026-08-26T02:14:26Z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D4D3B41B6DE04A45A9B6EC5A81C6B06E_11</vt:lpwstr>
  </property>
</Properties>
</file>