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/>
        <w:jc w:val="both"/>
        <w:textAlignment w:val="center"/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  <w:color w:val="auto"/>
        </w:rPr>
        <w:t>居民生活消费是我国能源消费的重要组成部分。下图为</w:t>
      </w:r>
      <w:r>
        <w:rPr>
          <w:rFonts w:hint="eastAsia" w:ascii="楷体" w:hAnsi="楷体" w:eastAsia="楷体" w:cs="楷体"/>
          <w:b/>
          <w:bCs/>
          <w:color w:val="auto"/>
        </w:rPr>
        <w:t>2022</w:t>
      </w:r>
      <w:r>
        <w:rPr>
          <w:rFonts w:hint="eastAsia" w:ascii="楷体" w:hAnsi="楷体" w:eastAsia="楷体" w:cs="楷体"/>
          <w:b/>
          <w:bCs/>
          <w:color w:val="auto"/>
        </w:rPr>
        <w:t>年中国城镇和乡村居民生活能源消费结构图，该年城镇与乡村人均能源消费量分别为</w:t>
      </w:r>
      <w:r>
        <w:rPr>
          <w:rFonts w:hint="eastAsia" w:ascii="楷体" w:hAnsi="楷体" w:eastAsia="楷体" w:cs="楷体"/>
          <w:b/>
          <w:bCs/>
          <w:color w:val="auto"/>
        </w:rPr>
        <w:t>450</w:t>
      </w:r>
      <w:r>
        <w:rPr>
          <w:rFonts w:hint="eastAsia" w:ascii="楷体" w:hAnsi="楷体" w:eastAsia="楷体" w:cs="楷体"/>
          <w:b/>
          <w:bCs/>
          <w:color w:val="auto"/>
        </w:rPr>
        <w:t>千克标准煤、</w:t>
      </w:r>
      <w:r>
        <w:rPr>
          <w:rFonts w:hint="eastAsia" w:ascii="楷体" w:hAnsi="楷体" w:eastAsia="楷体" w:cs="楷体"/>
          <w:b/>
          <w:bCs/>
          <w:color w:val="auto"/>
        </w:rPr>
        <w:t>529</w:t>
      </w:r>
      <w:r>
        <w:rPr>
          <w:rFonts w:hint="eastAsia" w:ascii="楷体" w:hAnsi="楷体" w:eastAsia="楷体" w:cs="楷体"/>
          <w:b/>
          <w:bCs/>
          <w:color w:val="auto"/>
        </w:rPr>
        <w:t>千克标准煤。</w:t>
      </w:r>
    </w:p>
    <w:p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3857625" cy="1457325"/>
            <wp:effectExtent l="0" t="0" r="13335" b="571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</w:rPr>
        <w:t xml:space="preserve">1. 关于城乡能源消费差异及成因，正确的是（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 ）</w:t>
      </w:r>
    </w:p>
    <w:p>
      <w:pPr>
        <w:keepNext w:val="0"/>
        <w:keepLines w:val="0"/>
        <w:pageBreakBefore w:val="0"/>
        <w:widowControl w:val="0"/>
        <w:tabs>
          <w:tab w:val="left" w:pos="48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</w:rPr>
        <w:t xml:space="preserve">A. </w:t>
      </w:r>
      <w:r>
        <w:rPr>
          <w:rFonts w:hint="eastAsia" w:ascii="宋体" w:hAnsi="宋体" w:eastAsia="宋体" w:cs="宋体"/>
          <w:color w:val="auto"/>
        </w:rPr>
        <w:t>消费总量——家庭成员数量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cs="宋体"/>
          <w:lang w:val="en-US" w:eastAsia="zh-CN"/>
        </w:rPr>
        <w:t xml:space="preserve">   </w:t>
      </w:r>
      <w:r>
        <w:rPr>
          <w:rFonts w:hint="eastAsia" w:ascii="宋体" w:hAnsi="宋体" w:eastAsia="宋体" w:cs="宋体"/>
        </w:rPr>
        <w:t xml:space="preserve">B. </w:t>
      </w:r>
      <w:r>
        <w:rPr>
          <w:rFonts w:hint="eastAsia" w:ascii="宋体" w:hAnsi="宋体" w:eastAsia="宋体" w:cs="宋体"/>
          <w:color w:val="auto"/>
        </w:rPr>
        <w:t>油品消费量——经济发展水平</w:t>
      </w:r>
    </w:p>
    <w:p>
      <w:pPr>
        <w:keepNext w:val="0"/>
        <w:keepLines w:val="0"/>
        <w:pageBreakBefore w:val="0"/>
        <w:widowControl w:val="0"/>
        <w:tabs>
          <w:tab w:val="left" w:pos="48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</w:rPr>
        <w:t xml:space="preserve">C. </w:t>
      </w:r>
      <w:r>
        <w:rPr>
          <w:rFonts w:hint="eastAsia" w:ascii="宋体" w:hAnsi="宋体" w:eastAsia="宋体" w:cs="宋体"/>
          <w:color w:val="auto"/>
        </w:rPr>
        <w:t>人均能耗——人均收入水平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cs="宋体"/>
          <w:lang w:val="en-US" w:eastAsia="zh-CN"/>
        </w:rPr>
        <w:t xml:space="preserve">   </w:t>
      </w:r>
      <w:r>
        <w:rPr>
          <w:rFonts w:hint="eastAsia" w:ascii="宋体" w:hAnsi="宋体" w:eastAsia="宋体" w:cs="宋体"/>
        </w:rPr>
        <w:t xml:space="preserve">D. </w:t>
      </w:r>
      <w:r>
        <w:rPr>
          <w:rFonts w:hint="eastAsia" w:ascii="宋体" w:hAnsi="宋体" w:eastAsia="宋体" w:cs="宋体"/>
          <w:color w:val="auto"/>
        </w:rPr>
        <w:t>天然气比重——资源分布状况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</w:rPr>
        <w:t xml:space="preserve">2. 为改善农村居民生活能源消费结构，可（ 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>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</w:rPr>
        <w:t xml:space="preserve">A. </w:t>
      </w:r>
      <w:r>
        <w:rPr>
          <w:rFonts w:hint="eastAsia" w:ascii="宋体" w:hAnsi="宋体" w:eastAsia="宋体" w:cs="宋体"/>
          <w:color w:val="auto"/>
        </w:rPr>
        <w:t>全面集中供暖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cs="宋体"/>
          <w:lang w:val="en-US" w:eastAsia="zh-CN"/>
        </w:rPr>
        <w:t xml:space="preserve">    </w:t>
      </w:r>
      <w:r>
        <w:rPr>
          <w:rFonts w:hint="eastAsia" w:ascii="宋体" w:hAnsi="宋体" w:eastAsia="宋体" w:cs="宋体"/>
        </w:rPr>
        <w:t xml:space="preserve">B. </w:t>
      </w:r>
      <w:r>
        <w:rPr>
          <w:rFonts w:hint="eastAsia" w:ascii="宋体" w:hAnsi="宋体" w:eastAsia="宋体" w:cs="宋体"/>
          <w:color w:val="auto"/>
        </w:rPr>
        <w:t>缩减人口规模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cs="宋体"/>
          <w:lang w:val="en-US" w:eastAsia="zh-CN"/>
        </w:rPr>
        <w:t xml:space="preserve">   </w:t>
      </w:r>
      <w:r>
        <w:rPr>
          <w:rFonts w:hint="eastAsia" w:ascii="宋体" w:hAnsi="宋体" w:eastAsia="宋体" w:cs="宋体"/>
        </w:rPr>
        <w:t xml:space="preserve">C. </w:t>
      </w:r>
      <w:r>
        <w:rPr>
          <w:rFonts w:hint="eastAsia" w:ascii="宋体" w:hAnsi="宋体" w:eastAsia="宋体" w:cs="宋体"/>
          <w:color w:val="auto"/>
        </w:rPr>
        <w:t>推广秸秆沼气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 xml:space="preserve">D. </w:t>
      </w:r>
      <w:r>
        <w:rPr>
          <w:rFonts w:hint="eastAsia" w:ascii="宋体" w:hAnsi="宋体" w:eastAsia="宋体" w:cs="宋体"/>
          <w:color w:val="auto"/>
        </w:rPr>
        <w:t>发展农业机械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/>
        <w:jc w:val="both"/>
        <w:textAlignment w:val="center"/>
        <w:rPr>
          <w:rFonts w:hint="eastAsia" w:ascii="楷体" w:hAnsi="楷体" w:eastAsia="楷体" w:cs="楷体"/>
          <w:b/>
          <w:bCs/>
          <w:color w:val="auto"/>
        </w:rPr>
      </w:pPr>
      <w:r>
        <w:rPr>
          <w:rFonts w:hint="eastAsia" w:ascii="楷体" w:hAnsi="楷体" w:eastAsia="楷体" w:cs="楷体"/>
          <w:b/>
          <w:bCs/>
          <w:color w:val="auto"/>
        </w:rPr>
        <w:t>径流式水电站是基本无库容且不调节径流，仅利用河流流量发电的水电站。下图为世界某区域略图。</w:t>
      </w:r>
    </w:p>
    <w:p>
      <w:pPr>
        <w:spacing w:line="360" w:lineRule="auto"/>
        <w:jc w:val="both"/>
        <w:textAlignment w:val="center"/>
        <w:rPr>
          <w:rFonts w:hint="eastAsia" w:ascii="宋体" w:hAnsi="宋体" w:eastAsia="宋体" w:cs="宋体"/>
          <w:color w:val="auto"/>
        </w:rPr>
      </w:pPr>
      <w:r>
        <w:rPr>
          <w:color w:val="00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4015740</wp:posOffset>
            </wp:positionH>
            <wp:positionV relativeFrom="paragraph">
              <wp:posOffset>7620</wp:posOffset>
            </wp:positionV>
            <wp:extent cx="2159000" cy="2486660"/>
            <wp:effectExtent l="0" t="0" r="5080" b="12700"/>
            <wp:wrapSquare wrapText="bothSides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2486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auto"/>
        </w:rPr>
        <w:t xml:space="preserve">3. 图中山脉的成因是（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地处生长边界</w:t>
      </w:r>
      <w:r>
        <w:rPr>
          <w:rFonts w:hint="eastAsia" w:ascii="宋体" w:hAnsi="宋体" w:eastAsia="宋体" w:cs="宋体"/>
          <w:color w:val="auto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B. 美洲板块抬升</w:t>
      </w:r>
      <w:r>
        <w:rPr>
          <w:rFonts w:hint="eastAsia" w:ascii="宋体" w:hAnsi="宋体" w:eastAsia="宋体" w:cs="宋体"/>
          <w:color w:val="auto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太平洋板块挤压</w:t>
      </w:r>
      <w:r>
        <w:rPr>
          <w:rFonts w:hint="eastAsia" w:ascii="宋体" w:hAnsi="宋体" w:eastAsia="宋体" w:cs="宋体"/>
          <w:color w:val="auto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D. 小板块向西俯冲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4. 图中四地自然植被为荒漠的是（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①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</w:rPr>
        <w:t>B. ②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</w:rPr>
        <w:t>C. ③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</w:rPr>
        <w:t>D. 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5. 图中径流式水电站修建的主要有利自然条件是（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径流变化大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</w:rPr>
        <w:t>B. 降水量充足</w:t>
      </w:r>
      <w:r>
        <w:rPr>
          <w:rFonts w:hint="eastAsia" w:ascii="宋体" w:hAnsi="宋体" w:eastAsia="宋体" w:cs="宋体"/>
          <w:color w:val="auto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地形较平坦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</w:rPr>
        <w:t>D. 地势落差大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/>
        <w:jc w:val="both"/>
        <w:textAlignment w:val="center"/>
        <w:rPr>
          <w:rFonts w:hint="eastAsia" w:ascii="楷体" w:hAnsi="楷体" w:eastAsia="楷体" w:cs="楷体"/>
          <w:b/>
          <w:bCs/>
          <w:color w:val="auto"/>
        </w:rPr>
      </w:pPr>
      <w:r>
        <w:rPr>
          <w:rFonts w:hint="eastAsia" w:ascii="楷体" w:hAnsi="楷体" w:eastAsia="楷体" w:cs="楷体"/>
          <w:b/>
          <w:bCs/>
          <w:color w:val="auto"/>
        </w:rPr>
        <w:t>电动垂直起降飞行器（简称eVTOL）是一种小型载人飞行器，被称为“空中出租车”。近年来，深圳市依托“无人机之都”优势，招引eVTOL整机制造企业，建设大量起降点，并于2026年6月开放120米以下空域，以打通制造与应用壁垒，推动产业提速。据此完成下面小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6. 深圳市吸引eVTOL整机制造企业落户的优势条件有（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①当地政策支持</w:t>
      </w:r>
      <w:r>
        <w:rPr>
          <w:rFonts w:hint="eastAsia" w:ascii="宋体" w:hAnsi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>②配套服务完善</w:t>
      </w:r>
      <w:r>
        <w:rPr>
          <w:rFonts w:hint="eastAsia" w:ascii="宋体" w:hAnsi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>③劳动力数量多</w:t>
      </w:r>
      <w:r>
        <w:rPr>
          <w:rFonts w:hint="eastAsia" w:ascii="宋体" w:hAnsi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>④海陆运输便利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①②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auto"/>
        </w:rPr>
        <w:t>B. ①③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auto"/>
        </w:rPr>
        <w:t>C. ②④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</w:rPr>
        <w:t>D. ③④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7. 近年来，深圳市大力发展eVTOL产业的主要目的是（ 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①促进产业升级</w:t>
      </w:r>
      <w:r>
        <w:rPr>
          <w:rFonts w:hint="eastAsia" w:ascii="宋体" w:hAnsi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>②吸引国际投资</w:t>
      </w:r>
      <w:r>
        <w:rPr>
          <w:rFonts w:hint="eastAsia" w:ascii="宋体" w:hAnsi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>③缓解交通拥堵</w:t>
      </w:r>
      <w:r>
        <w:rPr>
          <w:rFonts w:hint="eastAsia" w:ascii="宋体" w:hAnsi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>④替代传统汽车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①②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auto"/>
        </w:rPr>
        <w:t>B. ①③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auto"/>
        </w:rPr>
        <w:t>C. ②④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</w:rPr>
        <w:t>D. ③④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center"/>
        <w:rPr>
          <w:rFonts w:hint="eastAsia" w:ascii="楷体" w:hAnsi="楷体" w:eastAsia="楷体" w:cs="楷体"/>
          <w:b/>
          <w:bCs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center"/>
        <w:rPr>
          <w:rFonts w:hint="eastAsia" w:ascii="楷体" w:hAnsi="楷体" w:eastAsia="楷体" w:cs="楷体"/>
          <w:b/>
          <w:bCs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center"/>
        <w:rPr>
          <w:rFonts w:hint="eastAsia" w:ascii="楷体" w:hAnsi="楷体" w:eastAsia="楷体" w:cs="楷体"/>
          <w:b/>
          <w:bCs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center"/>
        <w:rPr>
          <w:rFonts w:hint="eastAsia" w:ascii="楷体" w:hAnsi="楷体" w:eastAsia="楷体" w:cs="楷体"/>
          <w:b/>
          <w:bCs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center"/>
        <w:rPr>
          <w:rFonts w:hint="eastAsia" w:ascii="楷体" w:hAnsi="楷体" w:eastAsia="楷体" w:cs="楷体"/>
          <w:b/>
          <w:bCs/>
          <w:color w:val="auto"/>
        </w:rPr>
      </w:pPr>
      <w:r>
        <w:rPr>
          <w:rFonts w:hint="eastAsia" w:ascii="楷体" w:hAnsi="楷体" w:eastAsia="楷体" w:cs="楷体"/>
          <w:b/>
          <w:bCs/>
          <w:color w:val="auto"/>
        </w:rPr>
        <w:t>图左是雅鲁藏布江周边遥感影像图，图右为图左中水文站测得的某月径流补给状况。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2133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">
                      <a:lum bright="12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019300" cy="2114550"/>
            <wp:effectExtent l="0" t="0" r="7620" b="381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8. 关于图示月份及流域降水主要水汽来源，正确的是（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2月东北季风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</w:rPr>
        <w:t>B. 5月东南季风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</w:rPr>
        <w:t>C. 8月西南季风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</w:rPr>
        <w:t>D. 11月盛行西风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9. 站点④至站点⑤干流流量大幅度增加的主要原因是（ 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高山数量较多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</w:rPr>
        <w:t>B. 降雨量增幅大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</w:rPr>
        <w:t>C. 太阳辐射增强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</w:rPr>
        <w:t>D. 径流流速较快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/>
        <w:jc w:val="both"/>
        <w:textAlignment w:val="center"/>
        <w:rPr>
          <w:rFonts w:hint="eastAsia" w:ascii="楷体" w:hAnsi="楷体" w:eastAsia="楷体" w:cs="楷体"/>
          <w:b/>
          <w:bCs/>
          <w:color w:val="auto"/>
        </w:rPr>
      </w:pPr>
      <w:r>
        <w:rPr>
          <w:color w:val="00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3885565</wp:posOffset>
            </wp:positionH>
            <wp:positionV relativeFrom="paragraph">
              <wp:posOffset>551180</wp:posOffset>
            </wp:positionV>
            <wp:extent cx="2277110" cy="1916430"/>
            <wp:effectExtent l="0" t="0" r="8890" b="3810"/>
            <wp:wrapSquare wrapText="bothSides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77110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color w:val="auto"/>
        </w:rPr>
        <w:t>盐度锋面是指河口地区盐度差异较大的水体之间形成类似于“锋面”的明显界面，锋面附近盐度梯度大，锋面两侧往往伴随着上升流和下降流。下图为杭州湾夏季表层盐度分布图，甲、乙之间剖面存在明显的盐度锋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10. 导致甲、乙两处等盐度线弯曲的主要因素分别是（ </w:t>
      </w:r>
      <w:r>
        <w:rPr>
          <w:rFonts w:hint="eastAsia" w:ascii="宋体" w:hAnsi="宋体" w:eastAsia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降水 洋流</w:t>
      </w:r>
      <w:r>
        <w:rPr>
          <w:rFonts w:hint="eastAsia" w:ascii="宋体" w:hAnsi="宋体" w:eastAsia="宋体" w:cs="宋体"/>
          <w:color w:val="auto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B. 径流 蒸发</w:t>
      </w:r>
      <w:r>
        <w:rPr>
          <w:rFonts w:hint="eastAsia" w:ascii="宋体" w:hAnsi="宋体" w:eastAsia="宋体" w:cs="宋体"/>
          <w:color w:val="auto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纬度 洋流</w:t>
      </w:r>
      <w:r>
        <w:rPr>
          <w:rFonts w:hint="eastAsia" w:ascii="宋体" w:hAnsi="宋体" w:eastAsia="宋体" w:cs="宋体"/>
          <w:color w:val="auto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D. 径流 潮流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11. 符合甲、乙之间盐度垂向变化的剖面图是（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182880</wp:posOffset>
            </wp:positionV>
            <wp:extent cx="4533900" cy="1047750"/>
            <wp:effectExtent l="0" t="0" r="7620" b="3810"/>
            <wp:wrapSquare wrapText="bothSides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①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auto"/>
        </w:rPr>
        <w:t>B. ②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auto"/>
        </w:rPr>
        <w:t>C. ③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auto"/>
        </w:rPr>
        <w:t>D. 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12. 利用高分辨率可见光遥感能够识别盐度锋面在海面的位置，其观测指标主要是（   </w:t>
      </w:r>
      <w:r>
        <w:rPr>
          <w:rFonts w:hint="eastAsia" w:ascii="宋体" w:hAnsi="宋体" w:eastAsia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海水温度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</w:rPr>
        <w:t>B. 海水浊度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>C. 海水盐度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>D. 海水深度</w:t>
      </w:r>
    </w:p>
    <w:p>
      <w:pPr>
        <w:spacing w:line="360" w:lineRule="auto"/>
        <w:ind w:firstLine="422" w:firstLineChars="200"/>
        <w:jc w:val="both"/>
        <w:textAlignment w:val="center"/>
        <w:rPr>
          <w:color w:val="000000"/>
        </w:rPr>
      </w:pPr>
      <w:r>
        <w:rPr>
          <w:rFonts w:hint="eastAsia" w:ascii="楷体" w:hAnsi="楷体" w:eastAsia="楷体" w:cs="楷体"/>
          <w:b/>
          <w:bCs/>
          <w:color w:val="auto"/>
        </w:rPr>
        <w:t>下图为华东地区某省会城市城区近10年居住人口密度与就业人口密度变化图。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989965</wp:posOffset>
            </wp:positionH>
            <wp:positionV relativeFrom="paragraph">
              <wp:posOffset>16510</wp:posOffset>
            </wp:positionV>
            <wp:extent cx="4145915" cy="1766570"/>
            <wp:effectExtent l="0" t="0" r="14605" b="1270"/>
            <wp:wrapSquare wrapText="bothSides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5915" cy="1766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13. 图示期间该城区居住人口密度描述正确的是（ 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一环内人口密度最小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auto"/>
        </w:rPr>
        <w:t>B. 二环外人口普遍增加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中心向外围增幅变大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auto"/>
        </w:rPr>
        <w:t>D. 呈现多中心分布趋势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14. 一环内居住人口密度与就业人口密度的变化，反映出（ 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职工通勤距离增加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auto"/>
        </w:rPr>
        <w:t>B. 土地租金价格下降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传统服务业发展快</w:t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auto"/>
        </w:rPr>
        <w:t>D. 生产性服务业萎缩</w:t>
      </w:r>
    </w:p>
    <w:p>
      <w:pPr>
        <w:spacing w:line="360" w:lineRule="auto"/>
        <w:ind w:firstLine="420"/>
        <w:jc w:val="both"/>
        <w:textAlignment w:val="center"/>
        <w:rPr>
          <w:rFonts w:hint="eastAsia" w:ascii="楷体" w:hAnsi="楷体" w:eastAsia="楷体" w:cs="楷体"/>
          <w:b/>
          <w:bCs/>
          <w:color w:val="auto"/>
        </w:rPr>
      </w:pPr>
      <w:r>
        <w:rPr>
          <w:rFonts w:hint="eastAsia" w:ascii="楷体" w:hAnsi="楷体" w:eastAsia="楷体" w:cs="楷体"/>
          <w:b/>
          <w:bCs/>
          <w:color w:val="auto"/>
        </w:rPr>
        <w:t>下表为2023年浙江、安徽、黑龙江和西藏四省（区）的耕地面积与粮食生产状况相关数据。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54"/>
        <w:gridCol w:w="1299"/>
        <w:gridCol w:w="1873"/>
        <w:gridCol w:w="1490"/>
        <w:gridCol w:w="1003"/>
        <w:gridCol w:w="1003"/>
        <w:gridCol w:w="10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地区</w:t>
            </w:r>
          </w:p>
        </w:tc>
        <w:tc>
          <w:tcPr>
            <w:tcW w:w="136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耕地面积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（千公顷）</w:t>
            </w:r>
          </w:p>
        </w:tc>
        <w:tc>
          <w:tcPr>
            <w:tcW w:w="20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农作物总播种面积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（千公顷）</w:t>
            </w:r>
          </w:p>
        </w:tc>
        <w:tc>
          <w:tcPr>
            <w:tcW w:w="15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粮食播种面积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（千公顷）</w:t>
            </w:r>
          </w:p>
        </w:tc>
        <w:tc>
          <w:tcPr>
            <w:tcW w:w="261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谷物（万吨）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稻谷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小麦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玉米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甲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17167.7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15209.4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14683.2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2718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7.4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4038.4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乙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445.3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277.2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192.6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18.8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丙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5563.5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8933.6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7314.2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1583.4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1722.3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663.4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丁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1320.8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2027.2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1020.4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462.9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55.3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15. 四省对应正确的是（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安徽、西藏、黑龙江、浙江</w:t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auto"/>
        </w:rPr>
        <w:t>B. 安徽、浙江、黑龙江、西藏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黑龙江、西藏、安徽、浙江</w:t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auto"/>
        </w:rPr>
        <w:t>D. 黑龙江、浙江、安徽、西藏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16. 与甲省相比，丙省（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机械化水平高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</w:rPr>
        <w:t>B. 复种指数较高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</w:rPr>
        <w:t>C. 非粮化程度低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</w:rPr>
        <w:t>D. 土地利用率低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17. 为保障粮食安全，针对乙省农业发展的限制性条件，应采取的措施是（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①实施生态退耕工程</w:t>
      </w:r>
      <w:r>
        <w:rPr>
          <w:rFonts w:hint="eastAsia" w:ascii="宋体" w:hAnsi="宋体" w:eastAsia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>②发展设施农业</w:t>
      </w:r>
      <w:r>
        <w:rPr>
          <w:rFonts w:hint="eastAsia" w:ascii="宋体" w:hAnsi="宋体" w:eastAsia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>③全面施用有机肥料</w:t>
      </w:r>
      <w:r>
        <w:rPr>
          <w:rFonts w:hint="eastAsia" w:ascii="宋体" w:hAnsi="宋体" w:eastAsia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>④培育耐寒品种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①②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</w:rPr>
        <w:t>B. ①③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</w:rPr>
        <w:t>C. ③④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</w:rPr>
        <w:t>D. ②④</w:t>
      </w:r>
    </w:p>
    <w:p>
      <w:pPr>
        <w:spacing w:line="360" w:lineRule="auto"/>
        <w:ind w:firstLine="420"/>
        <w:jc w:val="both"/>
        <w:textAlignment w:val="center"/>
        <w:rPr>
          <w:rFonts w:hint="eastAsia" w:ascii="楷体" w:hAnsi="楷体" w:eastAsia="楷体" w:cs="楷体"/>
          <w:b/>
          <w:bCs/>
          <w:color w:val="auto"/>
          <w:lang w:val="en-US" w:eastAsia="zh-CN"/>
        </w:rPr>
      </w:pPr>
      <w:r>
        <w:rPr>
          <w:color w:val="00000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4516755</wp:posOffset>
            </wp:positionH>
            <wp:positionV relativeFrom="paragraph">
              <wp:posOffset>619125</wp:posOffset>
            </wp:positionV>
            <wp:extent cx="2122805" cy="2582545"/>
            <wp:effectExtent l="0" t="0" r="10795" b="8255"/>
            <wp:wrapSquare wrapText="bothSides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22805" cy="2582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color w:val="auto"/>
        </w:rPr>
        <w:t>丹江河谷位于秦岭南麓，阶地上沉积有风成黄土，受气候变化影响，部分黄土发育成土壤层。风成黄土粉砂含量高，在特定水热条件下会发生次生黏化作用，其原生矿物经水解等反应转化为黏粒。丹江河谷农耕区受土壤质地影响，存在风蚀风险。下图为河谷内典型地层剖面及黏粉比（黏粒/粉砂）</w:t>
      </w:r>
      <w:r>
        <w:rPr>
          <w:rFonts w:hint="eastAsia" w:ascii="楷体" w:hAnsi="楷体" w:eastAsia="楷体" w:cs="楷体"/>
          <w:b/>
          <w:bCs/>
          <w:color w:val="auto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18. 次生黏化作用属于（ 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物理风化作用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</w:rPr>
        <w:t>B. 生物风化作用</w:t>
      </w:r>
      <w:r>
        <w:rPr>
          <w:rFonts w:hint="eastAsia" w:ascii="宋体" w:hAnsi="宋体" w:eastAsia="宋体" w:cs="宋体"/>
          <w:color w:val="auto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化学风化作用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</w:rPr>
        <w:t>D. 土壤淋溶作用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19. 古土壤层形成时，其气候条件最可能是（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温暖湿润</w:t>
      </w:r>
      <w:r>
        <w:rPr>
          <w:rFonts w:hint="eastAsia" w:ascii="宋体" w:hAnsi="宋体" w:cs="宋体"/>
          <w:color w:val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</w:rPr>
        <w:t>B. 寒冷干燥</w:t>
      </w:r>
      <w:r>
        <w:rPr>
          <w:rFonts w:hint="eastAsia" w:ascii="宋体" w:hAnsi="宋体" w:eastAsia="宋体" w:cs="宋体"/>
          <w:color w:val="auto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冬季风强</w:t>
      </w:r>
      <w:r>
        <w:rPr>
          <w:rFonts w:hint="eastAsia" w:ascii="宋体" w:hAnsi="宋体" w:cs="宋体"/>
          <w:color w:val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</w:rPr>
        <w:t>D. 夏季风弱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20. 为减少当地表层土壤的风蚀风险，下列措施最合理的是（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铺设草方格沙障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</w:rPr>
        <w:t>B. 实施等高线犁地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采用滴灌方式灌溉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</w:rPr>
        <w:t>D. 残茬秸秆覆盖地表</w:t>
      </w:r>
    </w:p>
    <w:p>
      <w:pPr>
        <w:spacing w:line="360" w:lineRule="auto"/>
        <w:ind w:firstLine="420"/>
        <w:jc w:val="both"/>
        <w:textAlignment w:val="center"/>
        <w:rPr>
          <w:rFonts w:hint="eastAsia" w:ascii="楷体" w:hAnsi="楷体" w:eastAsia="楷体" w:cs="楷体"/>
          <w:b/>
          <w:bCs/>
          <w:color w:val="auto"/>
        </w:rPr>
      </w:pPr>
      <w:r>
        <w:rPr>
          <w:rFonts w:hint="eastAsia" w:ascii="楷体" w:hAnsi="楷体" w:eastAsia="楷体" w:cs="楷体"/>
          <w:b/>
          <w:bCs/>
          <w:color w:val="auto"/>
        </w:rPr>
        <w:t>我国某学校地理社团在一个朔望月（从一次新月到下一次新月的时间，约为29.5日）周期内对月相进行连续观测。下图为期间连续四天同一时刻观测到的月相图。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476375"/>
            <wp:effectExtent l="0" t="0" r="5715" b="190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21. 图示时刻（地方时）最可能是（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6时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</w:rPr>
        <w:t>B. 12时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</w:rPr>
        <w:t>C. 18时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</w:rPr>
        <w:t>D. 21时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22. 社团学生查得月球真正公转周期为恒星月（约27.32日），推测朔望月与恒星月长短差异由地球公转造成。下列学生绘制的示意图中，能正确表示恒星月和朔望月的分别是（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33850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①④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</w:rPr>
        <w:t>B. ②③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</w:rPr>
        <w:t>C. ③②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</w:rPr>
        <w:t>D. ④①</w:t>
      </w:r>
    </w:p>
    <w:p>
      <w:pPr>
        <w:spacing w:line="360" w:lineRule="auto"/>
        <w:ind w:firstLine="420"/>
        <w:jc w:val="both"/>
        <w:textAlignment w:val="center"/>
        <w:rPr>
          <w:rFonts w:hint="eastAsia" w:ascii="楷体" w:hAnsi="楷体" w:eastAsia="楷体" w:cs="楷体"/>
          <w:b/>
          <w:bCs/>
          <w:color w:val="auto"/>
        </w:rPr>
      </w:pPr>
      <w:r>
        <w:rPr>
          <w:color w:val="000000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4564380</wp:posOffset>
            </wp:positionH>
            <wp:positionV relativeFrom="paragraph">
              <wp:posOffset>601980</wp:posOffset>
            </wp:positionV>
            <wp:extent cx="2075815" cy="2075815"/>
            <wp:effectExtent l="0" t="0" r="12065" b="12065"/>
            <wp:wrapSquare wrapText="bothSides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75815" cy="2075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color w:val="auto"/>
        </w:rPr>
        <w:t>一般情况下，海面的热量收入为辐射差额（海面净辐射收支），热量支出为潜热输送和感热输送（下垫面与大气间由于温度差而引起的直接热量交换，包括传导、湍流）图1为世界某区域略图，图2为甲测站海面热量收支年变化图，其中通量指单位时间单位面积上海面吸收或输出的热量。</w:t>
      </w:r>
    </w:p>
    <w:p>
      <w:pPr>
        <w:spacing w:line="360" w:lineRule="auto"/>
        <w:jc w:val="both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23. 乙处洋流（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增大夏季海雾概率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</w:rPr>
        <w:t>B. 促使沿岸降温减湿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位于副热带环流圈</w:t>
      </w:r>
      <w:r>
        <w:rPr>
          <w:rFonts w:hint="eastAsia" w:ascii="宋体" w:hAnsi="宋体" w:cs="宋体"/>
          <w:color w:val="auto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</w:rPr>
        <w:tab/>
      </w:r>
      <w:r>
        <w:rPr>
          <w:rFonts w:hint="eastAsia" w:ascii="宋体" w:hAnsi="宋体" w:cs="宋体"/>
          <w:color w:val="auto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</w:rPr>
        <w:t>D. 按成因属于风海流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24. 夏季甲处辐射差额数值大，说明（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海面接收的短波辐射+大气逆辐射&gt;海面长波辐射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4583430</wp:posOffset>
            </wp:positionH>
            <wp:positionV relativeFrom="paragraph">
              <wp:posOffset>99060</wp:posOffset>
            </wp:positionV>
            <wp:extent cx="2026920" cy="2035810"/>
            <wp:effectExtent l="0" t="0" r="0" b="6350"/>
            <wp:wrapSquare wrapText="bothSides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2035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auto"/>
        </w:rPr>
        <w:t>B. 海面接收的短波辐射+大气逆辐射=海面长波辐射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海面接收的短波辐射+大气逆辐射&lt;海面长波辐射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D. 海面接收的短波辐射-大气逆辐射=海面长波辐射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25. 关于测站所在海面年内热量收支状况及成因的说法，正确的是（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A. 2月辐射差额较小海气温差较小</w:t>
      </w:r>
      <w:r>
        <w:rPr>
          <w:rFonts w:hint="eastAsia" w:ascii="宋体" w:hAnsi="宋体" w:eastAsia="宋体" w:cs="宋体"/>
          <w:color w:val="auto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B. 5月热量收支平衡潜热输出减小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C. 7月海面热量亏缺日本暖流影响</w:t>
      </w:r>
      <w:r>
        <w:rPr>
          <w:rFonts w:hint="eastAsia" w:ascii="宋体" w:hAnsi="宋体" w:eastAsia="宋体" w:cs="宋体"/>
          <w:color w:val="auto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center"/>
        <w:rPr>
          <w:color w:val="000000"/>
        </w:rPr>
      </w:pPr>
      <w:r>
        <w:rPr>
          <w:rFonts w:hint="eastAsia" w:ascii="宋体" w:hAnsi="宋体" w:eastAsia="宋体" w:cs="宋体"/>
          <w:color w:val="auto"/>
        </w:rPr>
        <w:t>D. 12月潜热输出多冷</w:t>
      </w:r>
      <w:r>
        <w:rPr>
          <w:rFonts w:ascii="宋体" w:hAnsi="宋体" w:eastAsia="宋体" w:cs="宋体"/>
          <w:color w:val="000000"/>
        </w:rPr>
        <w:t>空气影响强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26. 阅读材料，完成下列问题。</w:t>
      </w:r>
    </w:p>
    <w:p>
      <w:pPr>
        <w:spacing w:line="360" w:lineRule="auto"/>
        <w:ind w:firstLine="420"/>
        <w:jc w:val="both"/>
        <w:textAlignment w:val="center"/>
        <w:rPr>
          <w:rFonts w:hint="eastAsia" w:ascii="楷体" w:hAnsi="楷体" w:eastAsia="楷体" w:cs="楷体"/>
          <w:b/>
          <w:bCs/>
          <w:color w:val="auto"/>
        </w:rPr>
      </w:pPr>
      <w:r>
        <w:rPr>
          <w:rFonts w:hint="eastAsia" w:ascii="楷体" w:hAnsi="楷体" w:eastAsia="楷体" w:cs="楷体"/>
          <w:b/>
          <w:bCs/>
          <w:color w:val="auto"/>
        </w:rPr>
        <w:t>材料一：攀枝花市境内金沙江河谷是典型的干热河谷，下图为攀枝花市及周边地形图。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00525" cy="2819400"/>
            <wp:effectExtent l="0" t="0" r="571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>
                      <a:lum bright="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/>
        <w:jc w:val="both"/>
        <w:textAlignment w:val="center"/>
        <w:rPr>
          <w:rFonts w:hint="eastAsia" w:ascii="楷体" w:hAnsi="楷体" w:eastAsia="楷体" w:cs="楷体"/>
          <w:b/>
          <w:bCs/>
          <w:color w:val="auto"/>
        </w:rPr>
      </w:pPr>
      <w:r>
        <w:rPr>
          <w:rFonts w:hint="eastAsia" w:ascii="楷体" w:hAnsi="楷体" w:eastAsia="楷体" w:cs="楷体"/>
          <w:b/>
          <w:bCs/>
          <w:color w:val="auto"/>
        </w:rPr>
        <w:t>材料二：芒果为热带水果，性喜温暖，不耐寒霜。我国芒果一般春节前后开花授粉，夏秋季节收获。攀枝花金沙江河谷是我国重要芒果产区之一，多种植在河谷坡地上，生产的芒果具有品质好、坐果率高（果树上结果数占总开花数的比重）等特点。下表为金沙江河谷与海南三亚气候条件对比表。</w:t>
      </w:r>
    </w:p>
    <w:tbl>
      <w:tblPr>
        <w:tblStyle w:val="4"/>
        <w:tblW w:w="94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95"/>
        <w:gridCol w:w="1308"/>
        <w:gridCol w:w="1380"/>
        <w:gridCol w:w="1500"/>
        <w:gridCol w:w="2016"/>
        <w:gridCol w:w="17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地区</w:t>
            </w:r>
          </w:p>
        </w:tc>
        <w:tc>
          <w:tcPr>
            <w:tcW w:w="13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纬度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月均温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≥10℃</w:t>
            </w:r>
            <w:r>
              <w:rPr>
                <w:rFonts w:ascii="楷体" w:hAnsi="楷体" w:eastAsia="楷体" w:cs="楷体"/>
                <w:color w:val="000000"/>
              </w:rPr>
              <w:t>积温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20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6-8</w:t>
            </w:r>
            <w:r>
              <w:rPr>
                <w:rFonts w:ascii="楷体" w:hAnsi="楷体" w:eastAsia="楷体" w:cs="楷体"/>
                <w:color w:val="000000"/>
              </w:rPr>
              <w:t>月降水量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/mm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年降水量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金沙江河谷</w:t>
            </w:r>
          </w:p>
        </w:tc>
        <w:tc>
          <w:tcPr>
            <w:tcW w:w="13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26°~27°N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13.6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7500</w:t>
            </w:r>
          </w:p>
        </w:tc>
        <w:tc>
          <w:tcPr>
            <w:tcW w:w="20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550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海南三亚</w:t>
            </w:r>
          </w:p>
        </w:tc>
        <w:tc>
          <w:tcPr>
            <w:tcW w:w="13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18°N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17.2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9000</w:t>
            </w:r>
          </w:p>
        </w:tc>
        <w:tc>
          <w:tcPr>
            <w:tcW w:w="20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645</w:t>
            </w:r>
          </w:p>
        </w:tc>
        <w:tc>
          <w:tcPr>
            <w:tcW w:w="1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1625</w:t>
            </w:r>
          </w:p>
        </w:tc>
      </w:tr>
    </w:tbl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材料三：当地冬、春季节易发火灾，为避免山火烧毁果园，果农通常在秋季后清除果园内外的杂草。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（1）金沙江河谷是世界纬度最高的芒果生产基地，请从地形角度分析成因。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（2）与海南三亚相比，说明金沙江河谷芒果品质较好、坐果率高的自然原因。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（3）简析金沙江河谷冬、春季节易发生火灾的气候条件，并指出果园清除杂草可能带来的生态破坏问题。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27. 阅读材料，完成下列问题。</w:t>
      </w:r>
    </w:p>
    <w:p>
      <w:pPr>
        <w:spacing w:line="360" w:lineRule="auto"/>
        <w:ind w:firstLine="420"/>
        <w:jc w:val="both"/>
        <w:textAlignment w:val="center"/>
        <w:rPr>
          <w:rFonts w:hint="eastAsia" w:ascii="楷体" w:hAnsi="楷体" w:eastAsia="楷体" w:cs="楷体"/>
          <w:b/>
          <w:bCs/>
          <w:color w:val="auto"/>
        </w:rPr>
      </w:pPr>
      <w:r>
        <w:rPr>
          <w:rFonts w:hint="eastAsia" w:ascii="楷体" w:hAnsi="楷体" w:eastAsia="楷体" w:cs="楷体"/>
          <w:b/>
          <w:bCs/>
          <w:color w:val="auto"/>
        </w:rPr>
        <w:t>材料一：疏勒河发源于祁连山区，以昌马水库和双塔堡水库为界分上、中、下游，下游冬季常断流。“哈拉奇”湖为疏勒河终端湖，曾长期干涸，自2016年双塔堡水库向下游实施生态补水后，该湖重新出现季节性水面。其中双塔堡水库至玉门关河道约180km为主要生态补水河段，河床以细沙为主。</w:t>
      </w:r>
    </w:p>
    <w:p>
      <w:pPr>
        <w:spacing w:line="360" w:lineRule="auto"/>
        <w:ind w:firstLine="420"/>
        <w:jc w:val="both"/>
        <w:textAlignment w:val="center"/>
        <w:rPr>
          <w:rFonts w:hint="eastAsia" w:ascii="楷体" w:hAnsi="楷体" w:eastAsia="楷体" w:cs="楷体"/>
          <w:b/>
          <w:bCs/>
          <w:color w:val="auto"/>
        </w:rPr>
      </w:pPr>
      <w:r>
        <w:rPr>
          <w:rFonts w:hint="eastAsia" w:ascii="楷体" w:hAnsi="楷体" w:eastAsia="楷体" w:cs="楷体"/>
          <w:b/>
          <w:bCs/>
          <w:color w:val="auto"/>
        </w:rPr>
        <w:t>材料二：图1为疏勒河流域示意图。图2为昌马冲积扇昌马大坝——桥湾段地质剖面图。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4475" cy="2011045"/>
            <wp:effectExtent l="0" t="0" r="4445" b="63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84475" cy="201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5290185" cy="2099310"/>
            <wp:effectExtent l="0" t="0" r="13335" b="381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90185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（1）从补给来源角度，分析疏勒河下游冬季易断流的原因。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（2）结合冲积扇物质组成，简述昌马冲积扇边缘地带地下水易出露的原因。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（3）前期双塔堡水库采用“小流量不间断”下泄生态水，但补水效果不佳。有专家建议应采取“集中大流量”泄放以提高效果，请从水循环角度分析原因。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28. 阅读材料，完成下列问题。</w:t>
      </w:r>
    </w:p>
    <w:p>
      <w:pPr>
        <w:spacing w:line="360" w:lineRule="auto"/>
        <w:ind w:firstLine="420"/>
        <w:jc w:val="both"/>
        <w:textAlignment w:val="center"/>
        <w:rPr>
          <w:rFonts w:hint="eastAsia" w:ascii="楷体" w:hAnsi="楷体" w:eastAsia="楷体" w:cs="楷体"/>
          <w:b/>
          <w:bCs/>
          <w:color w:val="auto"/>
        </w:rPr>
      </w:pPr>
      <w:r>
        <w:rPr>
          <w:rFonts w:hint="eastAsia" w:ascii="楷体" w:hAnsi="楷体" w:eastAsia="楷体" w:cs="楷体"/>
          <w:b/>
          <w:bCs/>
          <w:color w:val="auto"/>
        </w:rPr>
        <w:t>材料一：甲市是科特迪瓦最大城市和经济中心，也是该国最大港口，承担90%以上货物出口。甲市位于潟湖沿岸，通过人工运河与几内亚湾相连。图1是科特迪瓦略图。</w:t>
      </w:r>
    </w:p>
    <w:p>
      <w:pPr>
        <w:spacing w:line="360" w:lineRule="auto"/>
        <w:ind w:firstLine="420"/>
        <w:jc w:val="both"/>
        <w:textAlignment w:val="center"/>
        <w:rPr>
          <w:rFonts w:hint="eastAsia" w:ascii="楷体" w:hAnsi="楷体" w:eastAsia="楷体" w:cs="楷体"/>
          <w:b/>
          <w:bCs/>
          <w:color w:val="auto"/>
        </w:rPr>
      </w:pPr>
      <w:r>
        <w:rPr>
          <w:rFonts w:hint="eastAsia" w:ascii="楷体" w:hAnsi="楷体" w:eastAsia="楷体" w:cs="楷体"/>
          <w:b/>
          <w:bCs/>
          <w:color w:val="auto"/>
        </w:rPr>
        <w:t>材料二：可可豆是制作巧克力的原料。可可树可持续开花、结果，同一棵树上的果实成熟时间不同，难以统一采摘。科特迪瓦约有80到100万户可可种植家庭，可可种植与出口为国民经济支柱产业，供应量占全球的40%。图2是科特迪瓦2023年主要货物出口情况。</w:t>
      </w:r>
    </w:p>
    <w:p>
      <w:pPr>
        <w:spacing w:line="360" w:lineRule="auto"/>
        <w:ind w:firstLine="420"/>
        <w:jc w:val="both"/>
        <w:textAlignment w:val="center"/>
        <w:rPr>
          <w:rFonts w:hint="eastAsia" w:ascii="楷体" w:hAnsi="楷体" w:eastAsia="楷体" w:cs="楷体"/>
          <w:b/>
          <w:bCs/>
          <w:color w:val="auto"/>
        </w:rPr>
      </w:pPr>
      <w:r>
        <w:rPr>
          <w:rFonts w:hint="eastAsia" w:ascii="楷体" w:hAnsi="楷体" w:eastAsia="楷体" w:cs="楷体"/>
          <w:b/>
          <w:bCs/>
          <w:color w:val="auto"/>
        </w:rPr>
        <w:t>材料三：2025年6月，由中国企业承建的现代化可可加工厂在甲市正式投入运营。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9675" cy="3298190"/>
            <wp:effectExtent l="0" t="0" r="9525" b="889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329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（1）图1中年降水量的分布规律是__________，从气压带、风带移动角度分析其成因__________。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（2）评价图中潟湖对甲港口建设与运营的影响。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（3）有观点认为，该国可可产业对提升城市化水平作用有限，试分析原因。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（4）该国出口货物主要来自____________密集型产业和劳动密集型产业。从原料和市场角度分析甲市可可加工厂的布局优势__________。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rFonts w:hint="eastAsia" w:ascii="宋体" w:hAnsi="宋体" w:cs="宋体"/>
          <w:color w:val="000000"/>
          <w:lang w:val="en-US" w:eastAsia="zh-CN"/>
        </w:rPr>
      </w:pPr>
      <w:r>
        <w:rPr>
          <w:rFonts w:hint="eastAsia" w:ascii="宋体" w:hAnsi="宋体" w:eastAsia="宋体" w:cs="宋体"/>
          <w:color w:val="000000"/>
          <w:lang w:val="en-US" w:eastAsia="zh-CN"/>
        </w:rPr>
        <w:t xml:space="preserve">1-5 </w:t>
      </w:r>
      <w:r>
        <w:rPr>
          <w:rFonts w:hint="eastAsia" w:ascii="宋体" w:hAnsi="宋体" w:cs="宋体"/>
          <w:color w:val="000000"/>
          <w:lang w:val="en-US" w:eastAsia="zh-CN"/>
        </w:rPr>
        <w:t>BCBAB   6-10 ABCAD  11-15 BBDAC  16-20 BDCAD  21-25 CBCAD</w:t>
      </w:r>
    </w:p>
    <w:p>
      <w:pPr>
        <w:spacing w:line="360" w:lineRule="auto"/>
        <w:textAlignment w:val="center"/>
        <w:rPr>
          <w:rFonts w:hint="eastAsia" w:ascii="宋体" w:hAnsi="宋体" w:cs="宋体"/>
          <w:color w:val="000000"/>
          <w:lang w:val="en-US" w:eastAsia="zh-CN"/>
        </w:rPr>
      </w:pPr>
    </w:p>
    <w:p>
      <w:pPr>
        <w:spacing w:line="360" w:lineRule="auto"/>
        <w:textAlignment w:val="center"/>
        <w:rPr>
          <w:color w:val="000000"/>
        </w:rPr>
      </w:pPr>
      <w:r>
        <w:rPr>
          <w:rFonts w:hint="eastAsia" w:ascii="宋体" w:hAnsi="宋体" w:cs="宋体"/>
          <w:color w:val="000000"/>
          <w:lang w:val="en-US" w:eastAsia="zh-CN"/>
        </w:rPr>
        <w:t xml:space="preserve">26. 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地形阻挡，冬季受冷空气（寒潮）影响小；山高谷深，气流下沉增温强烈；河谷地形封闭，热量不易散失；冬季均温较高。</w:t>
      </w:r>
      <w:r>
        <w:rPr>
          <w:color w:val="000000"/>
        </w:rPr>
        <w:t xml:space="preserve">    </w:t>
      </w:r>
    </w:p>
    <w:p>
      <w:pPr>
        <w:spacing w:line="360" w:lineRule="auto"/>
        <w:ind w:firstLine="420" w:firstLineChars="200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光照条件好，昼夜温差大；积温少，生长周期长；冬季降水少，易授粉结果；夏秋季受台风影响小，果实不易掉落。</w:t>
      </w:r>
      <w:r>
        <w:rPr>
          <w:color w:val="000000"/>
        </w:rPr>
        <w:t xml:space="preserve">    </w:t>
      </w:r>
    </w:p>
    <w:p>
      <w:pPr>
        <w:spacing w:line="360" w:lineRule="auto"/>
        <w:ind w:firstLine="420" w:firstLineChars="200"/>
        <w:jc w:val="both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气候条件：降水少，焚风影响，空气干燥；</w:t>
      </w:r>
      <w:r>
        <w:rPr>
          <w:rFonts w:hint="eastAsia" w:ascii="宋体" w:hAnsi="宋体" w:cs="宋体"/>
          <w:color w:val="000000"/>
          <w:lang w:val="en-US" w:eastAsia="zh-CN"/>
        </w:rPr>
        <w:t xml:space="preserve">  </w:t>
      </w:r>
      <w:r>
        <w:rPr>
          <w:rFonts w:ascii="宋体" w:hAnsi="宋体" w:eastAsia="宋体" w:cs="宋体"/>
          <w:color w:val="000000"/>
        </w:rPr>
        <w:t>不利影响：加剧水土流失。</w:t>
      </w:r>
    </w:p>
    <w:p>
      <w:pPr>
        <w:spacing w:line="360" w:lineRule="auto"/>
        <w:textAlignment w:val="center"/>
        <w:rPr>
          <w:rFonts w:hint="eastAsia" w:ascii="宋体" w:hAnsi="宋体" w:cs="宋体"/>
          <w:color w:val="000000"/>
          <w:lang w:val="en-US" w:eastAsia="zh-CN"/>
        </w:rPr>
      </w:pPr>
    </w:p>
    <w:p>
      <w:pPr>
        <w:spacing w:line="360" w:lineRule="auto"/>
        <w:textAlignment w:val="center"/>
        <w:rPr>
          <w:color w:val="000000"/>
        </w:rPr>
      </w:pPr>
      <w:r>
        <w:rPr>
          <w:rFonts w:hint="eastAsia" w:ascii="宋体" w:hAnsi="宋体" w:cs="宋体"/>
          <w:color w:val="000000"/>
          <w:lang w:val="en-US" w:eastAsia="zh-CN"/>
        </w:rPr>
        <w:t xml:space="preserve">27. </w:t>
      </w:r>
      <w:r>
        <w:rPr>
          <w:color w:val="000000"/>
        </w:rPr>
        <w:t xml:space="preserve">（1）冬季气温低，无冰雪融水补给；冬季降水少，雨水补给少；地下水埋藏深，地下水补给少。    </w:t>
      </w:r>
    </w:p>
    <w:p>
      <w:pPr>
        <w:spacing w:line="360" w:lineRule="auto"/>
        <w:ind w:firstLine="420" w:firstLineChars="200"/>
        <w:textAlignment w:val="center"/>
        <w:rPr>
          <w:color w:val="000000"/>
        </w:rPr>
      </w:pPr>
      <w:r>
        <w:rPr>
          <w:color w:val="000000"/>
        </w:rPr>
        <w:t xml:space="preserve">（2）上部砂砾石透水性强，地表水下渗多；下部隔水层阻碍下渗；地下水位接近地表（埋藏变浅）。    </w:t>
      </w:r>
    </w:p>
    <w:p>
      <w:pPr>
        <w:spacing w:line="360" w:lineRule="auto"/>
        <w:ind w:firstLine="420" w:firstLineChars="200"/>
        <w:jc w:val="both"/>
        <w:textAlignment w:val="center"/>
        <w:rPr>
          <w:rFonts w:hint="default" w:ascii="宋体" w:hAnsi="宋体" w:eastAsia="宋体" w:cs="宋体"/>
          <w:color w:val="000000"/>
          <w:lang w:val="en-US" w:eastAsia="zh-CN"/>
        </w:rPr>
      </w:pPr>
      <w:r>
        <w:rPr>
          <w:color w:val="000000"/>
        </w:rPr>
        <w:t>（3）水库以下河道以细沙为主，下渗量大；气候干旱，蒸发损失大；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集中大流量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泄放，地表径流流速更快，地表停留时间短，水量损失减少。</w:t>
      </w:r>
    </w:p>
    <w:p>
      <w:pPr>
        <w:spacing w:line="360" w:lineRule="auto"/>
        <w:jc w:val="both"/>
        <w:textAlignment w:val="center"/>
        <w:rPr>
          <w:rFonts w:hint="default" w:ascii="宋体" w:hAnsi="宋体" w:cs="宋体"/>
          <w:color w:val="000000"/>
          <w:lang w:val="en-US" w:eastAsia="zh-CN"/>
        </w:rPr>
      </w:pPr>
    </w:p>
    <w:p>
      <w:pPr>
        <w:numPr>
          <w:ilvl w:val="0"/>
          <w:numId w:val="1"/>
        </w:num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（1）    ①. 西南向东北递减；    ②. 夏半年东南信风越过赤道，偏转成为西南季风，自西南向东北受西南季风影响减弱。    </w:t>
      </w:r>
    </w:p>
    <w:p>
      <w:pPr>
        <w:spacing w:line="360" w:lineRule="auto"/>
        <w:ind w:firstLine="420" w:firstLineChars="200"/>
        <w:textAlignment w:val="center"/>
        <w:rPr>
          <w:color w:val="000000"/>
        </w:rPr>
      </w:pPr>
      <w:r>
        <w:rPr>
          <w:color w:val="000000"/>
        </w:rPr>
        <w:t>（2）有利：受风浪影响小；停泊空间大；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不利：天然入海通道狭窄，需开挖人工运河；潟湖内泥沙淤积，水深浅。    </w:t>
      </w:r>
    </w:p>
    <w:p>
      <w:pPr>
        <w:numPr>
          <w:ilvl w:val="0"/>
          <w:numId w:val="0"/>
        </w:numPr>
        <w:spacing w:line="360" w:lineRule="auto"/>
        <w:ind w:firstLine="420" w:firstLineChars="200"/>
        <w:jc w:val="both"/>
        <w:textAlignment w:val="center"/>
        <w:rPr>
          <w:color w:val="000000"/>
        </w:rPr>
      </w:pPr>
      <w:r>
        <w:rPr>
          <w:rFonts w:ascii="Times New Roman" w:hAnsi="Times New Roman" w:eastAsia="宋体" w:cs="宋体"/>
          <w:color w:val="000000"/>
          <w:kern w:val="2"/>
          <w:sz w:val="21"/>
          <w:szCs w:val="24"/>
          <w:lang w:val="en-US" w:eastAsia="zh-CN" w:bidi="ar-SA"/>
        </w:rPr>
        <w:t>（3）</w:t>
      </w:r>
      <w:r>
        <w:rPr>
          <w:color w:val="000000"/>
        </w:rPr>
        <w:t xml:space="preserve">机械化水平低，农村劳动力需求多；加工厂少，产业链短，吸纳劳动力少。    </w:t>
      </w:r>
    </w:p>
    <w:p>
      <w:pPr>
        <w:numPr>
          <w:numId w:val="0"/>
        </w:numPr>
        <w:spacing w:line="360" w:lineRule="auto"/>
        <w:ind w:firstLine="420" w:firstLineChars="200"/>
        <w:jc w:val="both"/>
        <w:textAlignment w:val="center"/>
        <w:rPr>
          <w:rFonts w:hint="default" w:ascii="宋体" w:hAnsi="宋体" w:cs="宋体"/>
          <w:color w:val="000000"/>
          <w:lang w:val="en-US" w:eastAsia="zh-CN"/>
        </w:rPr>
      </w:pPr>
      <w:bookmarkStart w:id="0" w:name="_GoBack"/>
      <w:bookmarkEnd w:id="0"/>
      <w:r>
        <w:rPr>
          <w:color w:val="000000"/>
        </w:rPr>
        <w:t>（4）    ①. 资源；    ②. 地处原料产地，原料供应充足，原料运输成本低；本地消费能力强，市场需求大；海运便利，便于面向海外市场。</w: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tka Heading Semibold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Pristina">
    <w:panose1 w:val="03060402040406080204"/>
    <w:charset w:val="00"/>
    <w:family w:val="auto"/>
    <w:pitch w:val="default"/>
    <w:sig w:usb0="00000003" w:usb1="00000000" w:usb2="00000000" w:usb3="00000000" w:csb0="20000001" w:csb1="00000000"/>
  </w:font>
  <w:font w:name="Nirmala Text Semilight">
    <w:panose1 w:val="020B0402040204020203"/>
    <w:charset w:val="00"/>
    <w:family w:val="auto"/>
    <w:pitch w:val="default"/>
    <w:sig w:usb0="80FF8023" w:usb1="0200004A" w:usb2="00000200" w:usb3="00040000" w:csb0="00000001" w:csb1="00000000"/>
  </w:font>
  <w:font w:name="MS Reference Sans Serif">
    <w:panose1 w:val="020B0604030504040204"/>
    <w:charset w:val="00"/>
    <w:family w:val="auto"/>
    <w:pitch w:val="default"/>
    <w:sig w:usb0="00000287" w:usb1="00000000" w:usb2="00000000" w:usb3="00000000" w:csb0="2000019F" w:csb1="00000000"/>
  </w:font>
  <w:font w:name="Leelawadee UI">
    <w:panose1 w:val="020B0502040204020203"/>
    <w:charset w:val="00"/>
    <w:family w:val="auto"/>
    <w:pitch w:val="default"/>
    <w:sig w:usb0="83000003" w:usb1="00000000" w:usb2="00010000" w:usb3="00000001" w:csb0="00010101" w:csb1="00000000"/>
  </w:font>
  <w:font w:name="Candara Light">
    <w:panose1 w:val="020E0502030303020204"/>
    <w:charset w:val="00"/>
    <w:family w:val="auto"/>
    <w:pitch w:val="default"/>
    <w:sig w:usb0="A00002EF" w:usb1="4000A44B" w:usb2="00000000" w:usb3="00000000" w:csb0="2000019F" w:csb1="00000000"/>
  </w:font>
  <w:font w:name="Bahnschrif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MingLiU_HKSCS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899833"/>
    <w:multiLevelType w:val="singleLevel"/>
    <w:tmpl w:val="24899833"/>
    <w:lvl w:ilvl="0" w:tentative="0">
      <w:start w:val="28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ZiMDY4ODc0YjIyMzBhZDI3YzhlYzcyYWRlMjEwMGU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3F5D3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2026-09-09T17:30:00Z</dcterms:created>
  <dc:creator>学科网试题生产平台</dc:creator>
  <dc:description>4083640170505216</dc:description>
  <cp:lastModifiedBy>十一</cp:lastModifiedBy>
  <dcterms:modified xsi:type="dcterms:W3CDTF">2026-09-18T07:52:03Z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2052-12.1.0.16704</vt:lpwstr>
  </property>
  <property fmtid="{D5CDD505-2E9C-101B-9397-08002B2CF9AE}" pid="7" name="ICV">
    <vt:lpwstr>E44070B1F90F46FFB27AE3135CB12E02_13</vt:lpwstr>
  </property>
</Properties>
</file>