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line="360" w:lineRule="auto"/>
        <w:ind w:firstLine="560"/>
        <w:jc w:val="left"/>
        <w:textAlignment w:val="center"/>
        <w:rPr>
          <w:rFonts w:ascii="Times New Roman" w:hAnsi="Times New Roman"/>
          <w:b/>
          <w:bCs/>
        </w:rPr>
      </w:pPr>
      <w:r>
        <w:rPr>
          <w:rFonts w:ascii="楷体" w:hAnsi="楷体" w:eastAsia="楷体" w:cs="楷体"/>
          <w:b/>
          <w:bCs/>
        </w:rPr>
        <w:t>线上购物的出现与快速发展，对城市商业布局的影响越来越明显。地理环境特征和社会人口特征是影响居民线上购物行为的两大主要因素。地理环境特征包括社区的商店密度及人均占有商店数量等；社会人口特征包括性别、年龄、教育水平、婚姻情况、劳动收入比例等。</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1．广州“低商店数量-高网购时长”类型社区适合分布在（</w:t>
      </w:r>
      <w:r>
        <w:rPr>
          <w:rFonts w:hint="eastAsia" w:ascii="宋体" w:hAnsi="宋体" w:eastAsia="宋体" w:cs="宋体"/>
          <w:kern w:val="0"/>
          <w:sz w:val="21"/>
          <w:szCs w:val="21"/>
        </w:rPr>
        <w:t>   </w:t>
      </w:r>
      <w:r>
        <w:rPr>
          <w:rFonts w:hint="eastAsia" w:ascii="宋体" w:hAnsi="宋体" w:eastAsia="宋体" w:cs="宋体"/>
          <w:sz w:val="21"/>
          <w:szCs w:val="21"/>
        </w:rPr>
        <w:t>）</w:t>
      </w:r>
    </w:p>
    <w:p>
      <w:pPr>
        <w:pStyle w:val="10"/>
        <w:tabs>
          <w:tab w:val="left" w:pos="2078"/>
          <w:tab w:val="left" w:pos="4156"/>
          <w:tab w:val="left" w:pos="6234"/>
        </w:tabs>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A．城市中心</w:t>
      </w:r>
      <w:r>
        <w:rPr>
          <w:rFonts w:hint="eastAsia" w:ascii="宋体" w:hAnsi="宋体" w:eastAsia="宋体" w:cs="宋体"/>
          <w:sz w:val="21"/>
          <w:szCs w:val="21"/>
        </w:rPr>
        <w:tab/>
      </w:r>
      <w:r>
        <w:rPr>
          <w:rFonts w:hint="eastAsia" w:ascii="宋体" w:hAnsi="宋体" w:eastAsia="宋体" w:cs="宋体"/>
          <w:sz w:val="21"/>
          <w:szCs w:val="21"/>
        </w:rPr>
        <w:t>B．远郊农村</w:t>
      </w:r>
      <w:r>
        <w:rPr>
          <w:rFonts w:hint="eastAsia" w:ascii="宋体" w:hAnsi="宋体" w:eastAsia="宋体" w:cs="宋体"/>
          <w:sz w:val="21"/>
          <w:szCs w:val="21"/>
        </w:rPr>
        <w:tab/>
      </w:r>
      <w:r>
        <w:rPr>
          <w:rFonts w:hint="eastAsia" w:ascii="宋体" w:hAnsi="宋体" w:eastAsia="宋体" w:cs="宋体"/>
          <w:sz w:val="21"/>
          <w:szCs w:val="21"/>
        </w:rPr>
        <w:t>C．老城区</w:t>
      </w:r>
      <w:r>
        <w:rPr>
          <w:rFonts w:hint="eastAsia" w:ascii="宋体" w:hAnsi="宋体" w:eastAsia="宋体" w:cs="宋体"/>
          <w:sz w:val="21"/>
          <w:szCs w:val="21"/>
        </w:rPr>
        <w:tab/>
      </w:r>
      <w:r>
        <w:rPr>
          <w:rFonts w:hint="eastAsia" w:ascii="宋体" w:hAnsi="宋体" w:eastAsia="宋体" w:cs="宋体"/>
          <w:sz w:val="21"/>
          <w:szCs w:val="21"/>
        </w:rPr>
        <w:t>D．工业园区</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2．广州“低商店数量-高网购时长”社区线上购物时间较长的主要影响因素是（</w:t>
      </w:r>
      <w:r>
        <w:rPr>
          <w:rFonts w:hint="eastAsia" w:ascii="宋体" w:hAnsi="宋体" w:eastAsia="宋体" w:cs="宋体"/>
          <w:kern w:val="0"/>
          <w:sz w:val="21"/>
          <w:szCs w:val="21"/>
        </w:rPr>
        <w:t>   </w:t>
      </w:r>
      <w:r>
        <w:rPr>
          <w:rFonts w:hint="eastAsia" w:ascii="宋体" w:hAnsi="宋体" w:eastAsia="宋体" w:cs="宋体"/>
          <w:sz w:val="21"/>
          <w:szCs w:val="21"/>
        </w:rPr>
        <w:t>）</w:t>
      </w:r>
    </w:p>
    <w:p>
      <w:pPr>
        <w:pStyle w:val="10"/>
        <w:tabs>
          <w:tab w:val="left" w:pos="2078"/>
          <w:tab w:val="left" w:pos="4156"/>
          <w:tab w:val="left" w:pos="6234"/>
        </w:tabs>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A．居民年龄</w:t>
      </w:r>
      <w:r>
        <w:rPr>
          <w:rFonts w:hint="eastAsia" w:ascii="宋体" w:hAnsi="宋体" w:eastAsia="宋体" w:cs="宋体"/>
          <w:sz w:val="21"/>
          <w:szCs w:val="21"/>
        </w:rPr>
        <w:tab/>
      </w:r>
      <w:r>
        <w:rPr>
          <w:rFonts w:hint="eastAsia" w:ascii="宋体" w:hAnsi="宋体" w:eastAsia="宋体" w:cs="宋体"/>
          <w:sz w:val="21"/>
          <w:szCs w:val="21"/>
        </w:rPr>
        <w:t>B．交通条件</w:t>
      </w:r>
      <w:r>
        <w:rPr>
          <w:rFonts w:hint="eastAsia" w:ascii="宋体" w:hAnsi="宋体" w:eastAsia="宋体" w:cs="宋体"/>
          <w:sz w:val="21"/>
          <w:szCs w:val="21"/>
        </w:rPr>
        <w:tab/>
      </w:r>
      <w:r>
        <w:rPr>
          <w:rFonts w:hint="eastAsia" w:ascii="宋体" w:hAnsi="宋体" w:eastAsia="宋体" w:cs="宋体"/>
          <w:sz w:val="21"/>
          <w:szCs w:val="21"/>
        </w:rPr>
        <w:t>C．天气状况</w:t>
      </w:r>
      <w:r>
        <w:rPr>
          <w:rFonts w:hint="eastAsia" w:ascii="宋体" w:hAnsi="宋体" w:eastAsia="宋体" w:cs="宋体"/>
          <w:sz w:val="21"/>
          <w:szCs w:val="21"/>
        </w:rPr>
        <w:tab/>
      </w:r>
      <w:r>
        <w:rPr>
          <w:rFonts w:hint="eastAsia" w:ascii="宋体" w:hAnsi="宋体" w:eastAsia="宋体" w:cs="宋体"/>
          <w:sz w:val="21"/>
          <w:szCs w:val="21"/>
        </w:rPr>
        <w:t>D．距市区距离</w:t>
      </w:r>
    </w:p>
    <w:p>
      <w:pPr>
        <w:pStyle w:val="10"/>
        <w:spacing w:line="360" w:lineRule="auto"/>
        <w:ind w:firstLine="560"/>
        <w:jc w:val="left"/>
        <w:textAlignment w:val="center"/>
        <w:rPr>
          <w:rFonts w:ascii="楷体" w:hAnsi="楷体" w:eastAsia="楷体" w:cs="楷体"/>
          <w:b/>
          <w:bCs/>
        </w:rPr>
      </w:pPr>
      <w:r>
        <w:rPr>
          <w:rFonts w:ascii="楷体" w:hAnsi="楷体" w:eastAsia="楷体" w:cs="楷体"/>
          <w:b/>
          <w:bCs/>
        </w:rPr>
        <w:t>皎漂港位于缅甸西部（下图），是一个天然深水港，可以停靠大型集装箱船和油轮。中国与缅甸达成协议，共同投资建设皎漂港。未来这里将是中缅铁路的终点、中缅油气管道的起点和“一带一路”的重要支点。</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59264" behindDoc="0" locked="0" layoutInCell="1" allowOverlap="1">
            <wp:simplePos x="0" y="0"/>
            <wp:positionH relativeFrom="column">
              <wp:posOffset>4044315</wp:posOffset>
            </wp:positionH>
            <wp:positionV relativeFrom="paragraph">
              <wp:posOffset>22860</wp:posOffset>
            </wp:positionV>
            <wp:extent cx="2524760" cy="2910840"/>
            <wp:effectExtent l="0" t="0" r="5080" b="0"/>
            <wp:wrapSquare wrapText="bothSides"/>
            <wp:docPr id="100003" name="图片 100003"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河南教考资源信息网（www.henanjk.com），高考备考的理想选择！"/>
                    <pic:cNvPicPr>
                      <a:picLocks noChangeAspect="1"/>
                    </pic:cNvPicPr>
                  </pic:nvPicPr>
                  <pic:blipFill>
                    <a:blip r:embed="rId4">
                      <a:lum bright="-6000" contrast="12000"/>
                    </a:blip>
                    <a:stretch>
                      <a:fillRect/>
                    </a:stretch>
                  </pic:blipFill>
                  <pic:spPr>
                    <a:xfrm>
                      <a:off x="0" y="0"/>
                      <a:ext cx="2524760" cy="2910840"/>
                    </a:xfrm>
                    <a:prstGeom prst="rect">
                      <a:avLst/>
                    </a:prstGeom>
                  </pic:spPr>
                </pic:pic>
              </a:graphicData>
            </a:graphic>
          </wp:anchor>
        </w:drawing>
      </w:r>
      <w:r>
        <w:rPr>
          <w:rFonts w:hint="eastAsia" w:ascii="宋体" w:hAnsi="宋体" w:eastAsia="宋体" w:cs="宋体"/>
          <w:sz w:val="21"/>
          <w:szCs w:val="21"/>
        </w:rPr>
        <w:t>3．缅甸（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A．西临印度洋，东临中国南海</w:t>
      </w:r>
      <w:r>
        <w:rPr>
          <w:rFonts w:hint="eastAsia" w:ascii="宋体" w:hAnsi="宋体" w:eastAsia="宋体" w:cs="宋体"/>
          <w:sz w:val="21"/>
          <w:szCs w:val="21"/>
        </w:rPr>
        <w:tab/>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B．位于中低纬度，地跨热带温带</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C．位于板块生长边界，多地震</w:t>
      </w:r>
      <w:r>
        <w:rPr>
          <w:rFonts w:hint="eastAsia" w:ascii="宋体" w:hAnsi="宋体" w:eastAsia="宋体" w:cs="宋体"/>
          <w:sz w:val="21"/>
          <w:szCs w:val="21"/>
        </w:rPr>
        <w:tab/>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D．地势北高南低，生物种类丰富</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4．中缅共同建设皎漂港的意义有（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①扩展能源运输通道，保障国家能源安全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②带动相关产业发展，增加当地居民就业</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③拓展国家海洋疆域，积极开发海洋资源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④增加中国出海通道，共建“一带一路”</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A．①②③</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B．①③④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C．①②④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D．②③④</w:t>
      </w:r>
    </w:p>
    <w:p>
      <w:pPr>
        <w:pStyle w:val="10"/>
        <w:spacing w:line="360" w:lineRule="auto"/>
        <w:ind w:firstLine="560"/>
        <w:jc w:val="left"/>
        <w:textAlignment w:val="center"/>
        <w:rPr>
          <w:rFonts w:ascii="楷体" w:hAnsi="楷体" w:eastAsia="楷体" w:cs="楷体"/>
          <w:b/>
          <w:bCs/>
        </w:rPr>
      </w:pPr>
      <w:r>
        <w:rPr>
          <w:rFonts w:ascii="楷体" w:hAnsi="楷体" w:eastAsia="楷体" w:cs="楷体"/>
          <w:b/>
          <w:bCs/>
        </w:rPr>
        <w:t>宇宙成因核素是由宇宙射线与暴露于地表的物质发生核反应生成的新核素，宇宙成因核素浓度越高表明沉积物暴露在地表的时间越长，地质年代越久远。某研究团队通过测定黄河沿岸阶地沉积物表层宇宙成因核素的浓度推算阶地形成时间，下图示意该地区阶地分布以及表面沉积物测定年龄。</w:t>
      </w:r>
    </w:p>
    <w:p>
      <w:pPr>
        <w:pStyle w:val="10"/>
        <w:spacing w:line="360" w:lineRule="auto"/>
        <w:jc w:val="left"/>
        <w:textAlignment w:val="center"/>
        <w:rPr>
          <w:rFonts w:ascii="Times New Roman" w:hAnsi="Times New Roman"/>
        </w:rPr>
      </w:pPr>
      <w:r>
        <w:rPr>
          <w:rFonts w:ascii="Times New Roman" w:hAnsi="Times New Roman" w:eastAsia="Times New Roman"/>
          <w:kern w:val="0"/>
          <w:sz w:val="24"/>
          <w:szCs w:val="24"/>
        </w:rPr>
        <w:drawing>
          <wp:inline distT="0" distB="0" distL="114300" distR="114300">
            <wp:extent cx="4491990" cy="2736215"/>
            <wp:effectExtent l="0" t="0" r="3810" b="6985"/>
            <wp:docPr id="100005" name="图片 100005"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河南教考资源信息网（www.henanjk.com），高考备考的理想选择！"/>
                    <pic:cNvPicPr>
                      <a:picLocks noChangeAspect="1"/>
                    </pic:cNvPicPr>
                  </pic:nvPicPr>
                  <pic:blipFill>
                    <a:blip r:embed="rId5">
                      <a:lum/>
                    </a:blip>
                    <a:stretch>
                      <a:fillRect/>
                    </a:stretch>
                  </pic:blipFill>
                  <pic:spPr>
                    <a:xfrm>
                      <a:off x="0" y="0"/>
                      <a:ext cx="4491990" cy="2736215"/>
                    </a:xfrm>
                    <a:prstGeom prst="rect">
                      <a:avLst/>
                    </a:prstGeom>
                  </pic:spPr>
                </pic:pic>
              </a:graphicData>
            </a:graphic>
          </wp:inline>
        </w:drawing>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5．根据T2阶地沉积物特征，推测该时期气候演变趋势（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A．持续干旱</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B．由湿转干</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C．持续湿润</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D．由干转湿</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6．测算阶地上的河流砾石层年龄T8比T6新的原因是（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A．T6阶地表层风成黄土覆盖</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B．T6阶地抬升时间早于T8</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C．T8阶地沉积物形成晚于T6</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D．T8阶地沉积物表层遭受剥蚀</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7．在使用宇宙成因核素浓度进行地质年代测算时，常需要结合地形进行校正，其主要原因是（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A．低地沉积时间短，核素累积浓度偏低</w:t>
      </w:r>
      <w:r>
        <w:rPr>
          <w:rFonts w:hint="eastAsia" w:ascii="宋体" w:hAnsi="宋体" w:cs="宋体"/>
          <w:sz w:val="21"/>
          <w:szCs w:val="21"/>
          <w:lang w:val="en-US" w:eastAsia="zh-CN"/>
        </w:rPr>
        <w:t xml:space="preserve">             </w:t>
      </w:r>
      <w:r>
        <w:rPr>
          <w:rFonts w:hint="eastAsia" w:ascii="宋体" w:hAnsi="宋体" w:eastAsia="宋体" w:cs="宋体"/>
          <w:sz w:val="21"/>
          <w:szCs w:val="21"/>
        </w:rPr>
        <w:t>B．高地的大气稀薄，核素累积浓度偏低</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C．低地受地形遮挡，核素累积浓度偏低</w:t>
      </w:r>
      <w:r>
        <w:rPr>
          <w:rFonts w:hint="eastAsia" w:ascii="宋体" w:hAnsi="宋体" w:cs="宋体"/>
          <w:sz w:val="21"/>
          <w:szCs w:val="21"/>
          <w:lang w:val="en-US" w:eastAsia="zh-CN"/>
        </w:rPr>
        <w:t xml:space="preserve">             </w:t>
      </w:r>
      <w:r>
        <w:rPr>
          <w:rFonts w:hint="eastAsia" w:ascii="宋体" w:hAnsi="宋体" w:eastAsia="宋体" w:cs="宋体"/>
          <w:sz w:val="21"/>
          <w:szCs w:val="21"/>
        </w:rPr>
        <w:t>D．高地裸露时间长，核素累积浓度偏低</w:t>
      </w:r>
    </w:p>
    <w:p>
      <w:pPr>
        <w:pStyle w:val="10"/>
        <w:spacing w:line="360" w:lineRule="auto"/>
        <w:ind w:firstLine="560"/>
        <w:jc w:val="left"/>
        <w:textAlignment w:val="center"/>
        <w:rPr>
          <w:rFonts w:ascii="楷体" w:hAnsi="楷体" w:eastAsia="楷体" w:cs="楷体"/>
          <w:b/>
          <w:bCs/>
        </w:rPr>
      </w:pPr>
      <w:r>
        <w:rPr>
          <w:rFonts w:ascii="楷体" w:hAnsi="楷体" w:eastAsia="楷体" w:cs="楷体"/>
          <w:b/>
          <w:bCs/>
        </w:rPr>
        <w:t>一个地区的人口增量包括自然增长和机械增长，其中机械增长指该地区迁入人口与迁出人口之差。下图为2016—2023年辽宁省人口增量变化统计图。</w:t>
      </w:r>
    </w:p>
    <w:p>
      <w:pPr>
        <w:pStyle w:val="10"/>
        <w:spacing w:line="360" w:lineRule="auto"/>
        <w:textAlignment w:val="center"/>
        <w:rPr>
          <w:rFonts w:ascii="Times New Roman" w:hAnsi="Times New Roman"/>
        </w:rPr>
      </w:pPr>
      <w:r>
        <w:rPr>
          <w:rFonts w:ascii="Times New Roman" w:hAnsi="Times New Roman" w:eastAsia="Times New Roman"/>
          <w:kern w:val="0"/>
          <w:sz w:val="24"/>
          <w:szCs w:val="24"/>
        </w:rPr>
        <w:drawing>
          <wp:inline distT="0" distB="0" distL="114300" distR="114300">
            <wp:extent cx="5618480" cy="2080260"/>
            <wp:effectExtent l="0" t="0" r="5080" b="7620"/>
            <wp:docPr id="100007" name="图片 100007"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河南教考资源信息网（www.henanjk.com），高考备考的理想选择！"/>
                    <pic:cNvPicPr>
                      <a:picLocks noChangeAspect="1"/>
                    </pic:cNvPicPr>
                  </pic:nvPicPr>
                  <pic:blipFill>
                    <a:blip r:embed="rId6">
                      <a:lum/>
                    </a:blip>
                    <a:stretch>
                      <a:fillRect/>
                    </a:stretch>
                  </pic:blipFill>
                  <pic:spPr>
                    <a:xfrm>
                      <a:off x="0" y="0"/>
                      <a:ext cx="5618480" cy="2080260"/>
                    </a:xfrm>
                    <a:prstGeom prst="rect">
                      <a:avLst/>
                    </a:prstGeom>
                  </pic:spPr>
                </pic:pic>
              </a:graphicData>
            </a:graphic>
          </wp:inline>
        </w:drawing>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8．下列关于2016—2022年辽宁省人口变化的描述，正确的是（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A．出生人口持续减少</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B．死亡人口相对稳定</w:t>
      </w:r>
      <w:r>
        <w:rPr>
          <w:rFonts w:hint="eastAsia" w:ascii="宋体" w:hAnsi="宋体" w:cs="宋体"/>
          <w:sz w:val="21"/>
          <w:szCs w:val="21"/>
          <w:lang w:val="en-US" w:eastAsia="zh-CN"/>
        </w:rPr>
        <w:t xml:space="preserve">      </w:t>
      </w:r>
      <w:r>
        <w:rPr>
          <w:rFonts w:hint="eastAsia" w:ascii="宋体" w:hAnsi="宋体" w:eastAsia="宋体" w:cs="宋体"/>
          <w:sz w:val="21"/>
          <w:szCs w:val="21"/>
        </w:rPr>
        <w:t>C．人口增量波动下降</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D．人口总量持续增加</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9．与前期相比，2023年辽宁省人口机械增长特点及其主要原因是（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A．净迁出生活环境变差</w:t>
      </w:r>
      <w:r>
        <w:rPr>
          <w:rFonts w:hint="eastAsia" w:ascii="宋体" w:hAnsi="宋体" w:eastAsia="宋体" w:cs="宋体"/>
          <w:sz w:val="21"/>
          <w:szCs w:val="21"/>
        </w:rPr>
        <w:tab/>
      </w:r>
      <w:r>
        <w:rPr>
          <w:rFonts w:hint="eastAsia" w:ascii="宋体" w:hAnsi="宋体" w:eastAsia="宋体" w:cs="宋体"/>
          <w:sz w:val="21"/>
          <w:szCs w:val="21"/>
        </w:rPr>
        <w:t>B．净迁出就业机会减少</w:t>
      </w:r>
      <w:r>
        <w:rPr>
          <w:rFonts w:hint="eastAsia" w:ascii="宋体" w:hAnsi="宋体" w:cs="宋体"/>
          <w:sz w:val="21"/>
          <w:szCs w:val="21"/>
          <w:lang w:val="en-US" w:eastAsia="zh-CN"/>
        </w:rPr>
        <w:t xml:space="preserve">    </w:t>
      </w:r>
      <w:r>
        <w:rPr>
          <w:rFonts w:hint="eastAsia" w:ascii="宋体" w:hAnsi="宋体" w:eastAsia="宋体" w:cs="宋体"/>
          <w:sz w:val="21"/>
          <w:szCs w:val="21"/>
        </w:rPr>
        <w:t>C．净迁入旅游客流增加</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D．净迁入产业结构优化</w:t>
      </w:r>
    </w:p>
    <w:p>
      <w:pPr>
        <w:pStyle w:val="10"/>
        <w:spacing w:line="360" w:lineRule="auto"/>
        <w:ind w:firstLine="560"/>
        <w:jc w:val="left"/>
        <w:textAlignment w:val="center"/>
        <w:rPr>
          <w:rFonts w:ascii="楷体" w:hAnsi="楷体" w:eastAsia="楷体" w:cs="楷体"/>
          <w:b/>
          <w:bCs/>
        </w:rPr>
      </w:pPr>
      <w:r>
        <w:rPr>
          <w:rFonts w:ascii="Times New Roman" w:hAnsi="Times New Roman" w:eastAsia="Times New Roman"/>
          <w:kern w:val="0"/>
          <w:sz w:val="24"/>
          <w:szCs w:val="24"/>
        </w:rPr>
        <w:drawing>
          <wp:anchor distT="0" distB="0" distL="114300" distR="114300" simplePos="0" relativeHeight="251660288" behindDoc="0" locked="0" layoutInCell="1" allowOverlap="1">
            <wp:simplePos x="0" y="0"/>
            <wp:positionH relativeFrom="column">
              <wp:posOffset>3520440</wp:posOffset>
            </wp:positionH>
            <wp:positionV relativeFrom="paragraph">
              <wp:posOffset>396240</wp:posOffset>
            </wp:positionV>
            <wp:extent cx="3028950" cy="1676400"/>
            <wp:effectExtent l="0" t="0" r="0" b="0"/>
            <wp:wrapSquare wrapText="bothSides"/>
            <wp:docPr id="100009" name="图片 100009"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河南教考资源信息网（www.henanjk.com），高考备考的理想选择！"/>
                    <pic:cNvPicPr>
                      <a:picLocks noChangeAspect="1"/>
                    </pic:cNvPicPr>
                  </pic:nvPicPr>
                  <pic:blipFill>
                    <a:blip r:embed="rId7">
                      <a:lum/>
                    </a:blip>
                    <a:stretch>
                      <a:fillRect/>
                    </a:stretch>
                  </pic:blipFill>
                  <pic:spPr>
                    <a:xfrm>
                      <a:off x="0" y="0"/>
                      <a:ext cx="3028950" cy="1676400"/>
                    </a:xfrm>
                    <a:prstGeom prst="rect">
                      <a:avLst/>
                    </a:prstGeom>
                  </pic:spPr>
                </pic:pic>
              </a:graphicData>
            </a:graphic>
          </wp:anchor>
        </w:drawing>
      </w:r>
      <w:r>
        <w:rPr>
          <w:rFonts w:ascii="楷体" w:hAnsi="楷体" w:eastAsia="楷体" w:cs="楷体"/>
          <w:b/>
          <w:bCs/>
        </w:rPr>
        <w:t>贵州省是我国典型的劳务输出大省，与东部沿海地区“本地工业化驱动城镇化”的模式不同，贵州县域城镇化呈现出“异地务工带动本地城镇化”的特征（见下图）。</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10．与东部沿海地区相比，贵州省县域城镇化的核心驱动力差异显著，主要表现为（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A．本地制造业发展带动就业</w:t>
      </w:r>
      <w:r>
        <w:rPr>
          <w:rFonts w:hint="eastAsia" w:ascii="宋体" w:hAnsi="宋体" w:eastAsia="宋体" w:cs="宋体"/>
          <w:sz w:val="21"/>
          <w:szCs w:val="21"/>
        </w:rPr>
        <w:tab/>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B．教育与公共服务资源虹吸人口</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C．外出务工汇款反哺本地</w:t>
      </w:r>
      <w:r>
        <w:rPr>
          <w:rFonts w:hint="eastAsia" w:ascii="宋体" w:hAnsi="宋体" w:eastAsia="宋体" w:cs="宋体"/>
          <w:sz w:val="21"/>
          <w:szCs w:val="21"/>
        </w:rPr>
        <w:tab/>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D．政府主导工业园区建设</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11．贵州省县域城镇化进程中面临的最突出风险是（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A．城镇人口过度集中，就业困难加剧</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B．房地产盲目扩张，出现空城、鬼城</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C．工业污染加剧，生态环境破坏</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D．农业劳动力过剩，土地撂荒严重</w:t>
      </w:r>
    </w:p>
    <w:p>
      <w:pPr>
        <w:pStyle w:val="10"/>
        <w:spacing w:line="360" w:lineRule="auto"/>
        <w:ind w:firstLine="560"/>
        <w:jc w:val="left"/>
        <w:textAlignment w:val="center"/>
        <w:rPr>
          <w:rFonts w:ascii="楷体" w:hAnsi="楷体" w:eastAsia="楷体" w:cs="楷体"/>
          <w:b/>
          <w:bCs/>
        </w:rPr>
      </w:pPr>
      <w:r>
        <w:rPr>
          <w:rFonts w:ascii="楷体" w:hAnsi="楷体" w:eastAsia="楷体" w:cs="楷体"/>
          <w:b/>
          <w:bCs/>
        </w:rPr>
        <w:t>2000-2023年，我国粮食生产空间格局与产能动态演变显著。该研究为探究粮食安全保障路径提供了重要依据。图1示意我国农业区划，图2为我国2000-2023年中国不同粮食产区主粮单产变化图。</w:t>
      </w:r>
    </w:p>
    <w:p>
      <w:pPr>
        <w:pStyle w:val="10"/>
        <w:spacing w:line="360" w:lineRule="auto"/>
        <w:jc w:val="left"/>
        <w:textAlignment w:val="center"/>
        <w:rPr>
          <w:rFonts w:ascii="Times New Roman" w:hAnsi="Times New Roman"/>
        </w:rPr>
      </w:pPr>
      <w:r>
        <w:rPr>
          <w:rFonts w:ascii="Times New Roman" w:hAnsi="Times New Roman" w:eastAsia="Times New Roman"/>
          <w:kern w:val="0"/>
          <w:sz w:val="24"/>
          <w:szCs w:val="24"/>
        </w:rPr>
        <w:drawing>
          <wp:inline distT="0" distB="0" distL="114300" distR="114300">
            <wp:extent cx="2317115" cy="2999740"/>
            <wp:effectExtent l="0" t="0" r="14605" b="2540"/>
            <wp:docPr id="100011" name="图片 100011"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河南教考资源信息网（www.henanjk.com），高考备考的理想选择！"/>
                    <pic:cNvPicPr>
                      <a:picLocks noChangeAspect="1"/>
                    </pic:cNvPicPr>
                  </pic:nvPicPr>
                  <pic:blipFill>
                    <a:blip r:embed="rId8">
                      <a:lum/>
                    </a:blip>
                    <a:stretch>
                      <a:fillRect/>
                    </a:stretch>
                  </pic:blipFill>
                  <pic:spPr>
                    <a:xfrm>
                      <a:off x="0" y="0"/>
                      <a:ext cx="2317115" cy="2999740"/>
                    </a:xfrm>
                    <a:prstGeom prst="rect">
                      <a:avLst/>
                    </a:prstGeom>
                  </pic:spPr>
                </pic:pic>
              </a:graphicData>
            </a:graphic>
          </wp:inline>
        </w:drawing>
      </w:r>
      <w:r>
        <w:rPr>
          <w:rFonts w:ascii="Times New Roman" w:hAnsi="Times New Roman" w:eastAsia="Times New Roman"/>
          <w:kern w:val="0"/>
          <w:sz w:val="24"/>
          <w:szCs w:val="24"/>
        </w:rPr>
        <w:drawing>
          <wp:inline distT="0" distB="0" distL="114300" distR="114300">
            <wp:extent cx="3384550" cy="2865755"/>
            <wp:effectExtent l="0" t="0" r="13970" b="14605"/>
            <wp:docPr id="1" name="图片 1"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河南教考资源信息网（www.henanjk.com），高考备考的理想选择！"/>
                    <pic:cNvPicPr>
                      <a:picLocks noChangeAspect="1"/>
                    </pic:cNvPicPr>
                  </pic:nvPicPr>
                  <pic:blipFill>
                    <a:blip r:embed="rId9">
                      <a:lum/>
                    </a:blip>
                    <a:stretch>
                      <a:fillRect/>
                    </a:stretch>
                  </pic:blipFill>
                  <pic:spPr>
                    <a:xfrm>
                      <a:off x="0" y="0"/>
                      <a:ext cx="3384550" cy="2865755"/>
                    </a:xfrm>
                    <a:prstGeom prst="rect">
                      <a:avLst/>
                    </a:prstGeom>
                  </pic:spPr>
                </pic:pic>
              </a:graphicData>
            </a:graphic>
          </wp:inline>
        </w:drawing>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12．与粮食产销平衡区相比，黄淮海平原主产区粮食生产的主要区位优势是（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A．水热资源充足</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B．人均耕地面积大</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C．农业基础雄厚</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D．劳动力成本低</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13．2000-2023年，主产区主粮单产增速最快的核心驱动是（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A．机械化水平提升</w:t>
      </w:r>
      <w:r>
        <w:rPr>
          <w:rFonts w:hint="eastAsia" w:ascii="宋体" w:hAnsi="宋体" w:cs="宋体"/>
          <w:sz w:val="21"/>
          <w:szCs w:val="21"/>
          <w:lang w:val="en-US" w:eastAsia="zh-CN"/>
        </w:rPr>
        <w:t xml:space="preserve">      </w:t>
      </w:r>
      <w:r>
        <w:rPr>
          <w:rFonts w:hint="eastAsia" w:ascii="宋体" w:hAnsi="宋体" w:eastAsia="宋体" w:cs="宋体"/>
          <w:sz w:val="21"/>
          <w:szCs w:val="21"/>
        </w:rPr>
        <w:t>B．基础设施完善</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C．农药化肥的使用</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D．政府政策支持</w:t>
      </w:r>
    </w:p>
    <w:p>
      <w:pPr>
        <w:pStyle w:val="10"/>
        <w:spacing w:line="360" w:lineRule="auto"/>
        <w:ind w:firstLine="560"/>
        <w:jc w:val="left"/>
        <w:textAlignment w:val="center"/>
        <w:rPr>
          <w:rFonts w:ascii="楷体" w:hAnsi="楷体" w:eastAsia="楷体" w:cs="楷体"/>
          <w:b/>
          <w:bCs/>
        </w:rPr>
      </w:pPr>
      <w:r>
        <w:rPr>
          <w:rFonts w:ascii="楷体" w:hAnsi="楷体" w:eastAsia="楷体" w:cs="楷体"/>
          <w:b/>
          <w:bCs/>
        </w:rPr>
        <w:t>北京市海淀区永丰片区正在建设以商业航天产业为核心的卫星小镇，核心区整体规划“四区三中心”功能布局，如图为卫星小镇核心区位置及布局示意图。</w:t>
      </w:r>
    </w:p>
    <w:p>
      <w:pPr>
        <w:pStyle w:val="10"/>
        <w:spacing w:line="360" w:lineRule="auto"/>
        <w:jc w:val="left"/>
        <w:textAlignment w:val="center"/>
        <w:rPr>
          <w:rFonts w:ascii="Times New Roman" w:hAnsi="Times New Roman"/>
        </w:rPr>
      </w:pPr>
      <w:r>
        <w:rPr>
          <w:rFonts w:ascii="Times New Roman" w:hAnsi="Times New Roman" w:eastAsia="Times New Roman"/>
          <w:kern w:val="0"/>
          <w:sz w:val="24"/>
          <w:szCs w:val="24"/>
        </w:rPr>
        <w:drawing>
          <wp:anchor distT="0" distB="0" distL="114300" distR="114300" simplePos="0" relativeHeight="251661312" behindDoc="0" locked="0" layoutInCell="1" allowOverlap="1">
            <wp:simplePos x="0" y="0"/>
            <wp:positionH relativeFrom="column">
              <wp:posOffset>365760</wp:posOffset>
            </wp:positionH>
            <wp:positionV relativeFrom="paragraph">
              <wp:posOffset>30480</wp:posOffset>
            </wp:positionV>
            <wp:extent cx="4481195" cy="2320925"/>
            <wp:effectExtent l="0" t="0" r="14605" b="10795"/>
            <wp:wrapSquare wrapText="bothSides"/>
            <wp:docPr id="100015" name="图片 100015"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河南教考资源信息网（www.henanjk.com），高考备考的理想选择！"/>
                    <pic:cNvPicPr>
                      <a:picLocks noChangeAspect="1"/>
                    </pic:cNvPicPr>
                  </pic:nvPicPr>
                  <pic:blipFill>
                    <a:blip r:embed="rId10">
                      <a:lum bright="-6000" contrast="12000"/>
                    </a:blip>
                    <a:stretch>
                      <a:fillRect/>
                    </a:stretch>
                  </pic:blipFill>
                  <pic:spPr>
                    <a:xfrm>
                      <a:off x="0" y="0"/>
                      <a:ext cx="4481195" cy="2320925"/>
                    </a:xfrm>
                    <a:prstGeom prst="rect">
                      <a:avLst/>
                    </a:prstGeom>
                  </pic:spPr>
                </pic:pic>
              </a:graphicData>
            </a:graphic>
          </wp:anchor>
        </w:drawing>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14．海淀永丰片区建设卫星小镇的核心区位优势是（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A．所在地区经济发达，市场广阔</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B．航天资源丰富，产业基础雄厚</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C．地处城市上风区，空气质量好</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D．靠近高速公路，交通运输便利</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15．卫星小镇核心区采取“四区三中心”功能布局有利于（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A．集约利用土地，提高城镇化水平</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B．集聚创新要素，促进产业上下游协作</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C．避免功能混杂，降低环境污染</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D．吸引人口迁入，缩短通勤时间</w:t>
      </w:r>
    </w:p>
    <w:p>
      <w:pPr>
        <w:pStyle w:val="10"/>
        <w:spacing w:line="360" w:lineRule="auto"/>
        <w:ind w:firstLine="560"/>
        <w:jc w:val="left"/>
        <w:textAlignment w:val="center"/>
        <w:rPr>
          <w:rFonts w:ascii="楷体" w:hAnsi="楷体" w:eastAsia="楷体" w:cs="楷体"/>
          <w:b/>
          <w:bCs/>
        </w:rPr>
      </w:pPr>
      <w:r>
        <w:rPr>
          <w:rFonts w:ascii="Times New Roman" w:hAnsi="Times New Roman" w:eastAsia="Times New Roman"/>
          <w:kern w:val="0"/>
          <w:sz w:val="24"/>
          <w:szCs w:val="24"/>
        </w:rPr>
        <w:drawing>
          <wp:anchor distT="0" distB="0" distL="114300" distR="114300" simplePos="0" relativeHeight="251662336" behindDoc="0" locked="0" layoutInCell="1" allowOverlap="1">
            <wp:simplePos x="0" y="0"/>
            <wp:positionH relativeFrom="column">
              <wp:posOffset>3851910</wp:posOffset>
            </wp:positionH>
            <wp:positionV relativeFrom="paragraph">
              <wp:posOffset>625475</wp:posOffset>
            </wp:positionV>
            <wp:extent cx="2764155" cy="1934210"/>
            <wp:effectExtent l="0" t="0" r="9525" b="1270"/>
            <wp:wrapSquare wrapText="bothSides"/>
            <wp:docPr id="100017" name="图片 100017"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河南教考资源信息网（www.henanjk.com），高考备考的理想选择！"/>
                    <pic:cNvPicPr>
                      <a:picLocks noChangeAspect="1"/>
                    </pic:cNvPicPr>
                  </pic:nvPicPr>
                  <pic:blipFill>
                    <a:blip r:embed="rId11">
                      <a:lum bright="-6000" contrast="12000"/>
                    </a:blip>
                    <a:stretch>
                      <a:fillRect/>
                    </a:stretch>
                  </pic:blipFill>
                  <pic:spPr>
                    <a:xfrm>
                      <a:off x="0" y="0"/>
                      <a:ext cx="2764155" cy="1934210"/>
                    </a:xfrm>
                    <a:prstGeom prst="rect">
                      <a:avLst/>
                    </a:prstGeom>
                  </pic:spPr>
                </pic:pic>
              </a:graphicData>
            </a:graphic>
          </wp:anchor>
        </w:drawing>
      </w:r>
      <w:r>
        <w:rPr>
          <w:rFonts w:ascii="楷体" w:hAnsi="楷体" w:eastAsia="楷体" w:cs="楷体"/>
          <w:b/>
          <w:bCs/>
        </w:rPr>
        <w:t>2026年4月16日，全球首个电动飞行出租垂直起降机场在阿联酋迪拜投入运营，该机场位于迪拜国际机场附近，设有两处电动飞行器起降平台和通信指挥中心，预计每年可服务旅客达17万人次。下图示意迪拜国际机场位置及周边环境。</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16．迪拜发展电动飞行出租的有利气候条件有（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①晴朗天气多，运营时间长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②无寒冷天气，电池续航能力强</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③无大雾和沙尘天气，飞行安全性好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④近地空气密度高，利于飞行器起飞</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B．①③</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C．②④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D．③④</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17．迪拜将电动飞行出租垂直起降机场布局在国际机场附近，主要目的是（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①共享基础设施  ②扩大服务范围  ③靠近客源市场  ④缓解交通拥堵</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B．②④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C．①③</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D．③④</w:t>
      </w:r>
    </w:p>
    <w:p>
      <w:pPr>
        <w:pStyle w:val="10"/>
        <w:spacing w:line="360" w:lineRule="auto"/>
        <w:ind w:firstLine="560"/>
        <w:jc w:val="left"/>
        <w:textAlignment w:val="center"/>
        <w:rPr>
          <w:rFonts w:ascii="楷体" w:hAnsi="楷体" w:eastAsia="楷体" w:cs="楷体"/>
          <w:b/>
          <w:bCs/>
        </w:rPr>
      </w:pPr>
      <w:r>
        <w:rPr>
          <w:rFonts w:ascii="楷体" w:hAnsi="楷体" w:eastAsia="楷体" w:cs="楷体"/>
          <w:b/>
          <w:bCs/>
        </w:rPr>
        <w:t>自动驾驶汽车是指主要依靠车载传感器、控制器、执行器等装置，结合人工智能算法，能够在无需或减少人类干预的情况下，自主完成部分或全部驾驶任务的汽车。2022年8月，武汉市在全国率先发布全自动驾驶商业化运营试点政策，开放测试道路里程突破3378.73公里，提供跨区通行、跨江通行等多个自动驾驶商业应用场景，成为全球最大的自动驾驶运营服务区。2025年，全球自动驾驶市场规模已高达2738亿美元。</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18．与传统驾驶相比，自动驾驶带来的影响是（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A．降低汽车制造成本，扩大汽车市场销量</w:t>
      </w:r>
      <w:r>
        <w:rPr>
          <w:rFonts w:hint="eastAsia" w:ascii="宋体" w:hAnsi="宋体" w:cs="宋体"/>
          <w:sz w:val="21"/>
          <w:szCs w:val="21"/>
          <w:lang w:val="en-US" w:eastAsia="zh-CN"/>
        </w:rPr>
        <w:t xml:space="preserve">                 </w:t>
      </w:r>
      <w:r>
        <w:rPr>
          <w:rFonts w:hint="eastAsia" w:ascii="宋体" w:hAnsi="宋体" w:eastAsia="宋体" w:cs="宋体"/>
          <w:sz w:val="21"/>
          <w:szCs w:val="21"/>
        </w:rPr>
        <w:t>B．减少人为操作失误，提升道路通行安全</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C．减少汽车使用总量，缓解城市交通拥堵</w:t>
      </w:r>
      <w:r>
        <w:rPr>
          <w:rFonts w:hint="eastAsia" w:ascii="宋体" w:hAnsi="宋体" w:cs="宋体"/>
          <w:sz w:val="21"/>
          <w:szCs w:val="21"/>
          <w:lang w:val="en-US" w:eastAsia="zh-CN"/>
        </w:rPr>
        <w:t xml:space="preserve">                 </w:t>
      </w:r>
      <w:r>
        <w:rPr>
          <w:rFonts w:hint="eastAsia" w:ascii="宋体" w:hAnsi="宋体" w:eastAsia="宋体" w:cs="宋体"/>
          <w:sz w:val="21"/>
          <w:szCs w:val="21"/>
        </w:rPr>
        <w:t>D．降低能源消耗总量，减轻大气环境污染</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19．武汉市能够成为全球最大自动驾驶运营服务区的原因是（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①汽车产量大</w:t>
      </w:r>
      <w:r>
        <w:rPr>
          <w:rFonts w:hint="eastAsia" w:ascii="宋体" w:hAnsi="宋体" w:cs="宋体"/>
          <w:sz w:val="21"/>
          <w:szCs w:val="21"/>
          <w:lang w:val="en-US" w:eastAsia="zh-CN"/>
        </w:rPr>
        <w:t xml:space="preserve">  </w:t>
      </w:r>
      <w:r>
        <w:rPr>
          <w:rFonts w:hint="eastAsia" w:ascii="宋体" w:hAnsi="宋体" w:eastAsia="宋体" w:cs="宋体"/>
          <w:sz w:val="21"/>
          <w:szCs w:val="21"/>
        </w:rPr>
        <w:t>②政策先行</w:t>
      </w:r>
      <w:r>
        <w:rPr>
          <w:rFonts w:hint="eastAsia" w:ascii="宋体" w:hAnsi="宋体" w:cs="宋体"/>
          <w:sz w:val="21"/>
          <w:szCs w:val="21"/>
          <w:lang w:val="en-US" w:eastAsia="zh-CN"/>
        </w:rPr>
        <w:t xml:space="preserve">  </w:t>
      </w:r>
      <w:r>
        <w:rPr>
          <w:rFonts w:hint="eastAsia" w:ascii="宋体" w:hAnsi="宋体" w:eastAsia="宋体" w:cs="宋体"/>
          <w:sz w:val="21"/>
          <w:szCs w:val="21"/>
        </w:rPr>
        <w:t>③测试道路里程长</w:t>
      </w:r>
      <w:r>
        <w:rPr>
          <w:rFonts w:hint="eastAsia" w:ascii="宋体" w:hAnsi="宋体" w:cs="宋体"/>
          <w:sz w:val="21"/>
          <w:szCs w:val="21"/>
          <w:lang w:val="en-US" w:eastAsia="zh-CN"/>
        </w:rPr>
        <w:t xml:space="preserve">  </w:t>
      </w:r>
      <w:r>
        <w:rPr>
          <w:rFonts w:hint="eastAsia" w:ascii="宋体" w:hAnsi="宋体" w:eastAsia="宋体" w:cs="宋体"/>
          <w:sz w:val="21"/>
          <w:szCs w:val="21"/>
        </w:rPr>
        <w:t>④应用场景丰富</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A．①②③</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B．①③④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C．①②④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D．②③④</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20．我国推动自动驾驶商业化运营的主要意义在于（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A．降低公共交通成本，实现运营扭亏为盈</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B．完善交通基础设施，降低居民出行成本</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C．推动汽车产业智能化，促进产业升级</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D．增加就业岗位，缓解劳动力过剩压力</w:t>
      </w:r>
    </w:p>
    <w:p>
      <w:pPr>
        <w:pStyle w:val="10"/>
        <w:spacing w:line="360" w:lineRule="auto"/>
        <w:ind w:firstLine="560"/>
        <w:jc w:val="left"/>
        <w:textAlignment w:val="center"/>
        <w:rPr>
          <w:rFonts w:ascii="楷体" w:hAnsi="楷体" w:eastAsia="楷体" w:cs="楷体"/>
          <w:b/>
          <w:bCs/>
        </w:rPr>
      </w:pPr>
      <w:r>
        <w:rPr>
          <w:rFonts w:ascii="Times New Roman" w:hAnsi="Times New Roman" w:eastAsia="Times New Roman"/>
          <w:kern w:val="0"/>
          <w:sz w:val="24"/>
          <w:szCs w:val="24"/>
        </w:rPr>
        <w:drawing>
          <wp:anchor distT="0" distB="0" distL="114300" distR="114300" simplePos="0" relativeHeight="251663360" behindDoc="0" locked="0" layoutInCell="1" allowOverlap="1">
            <wp:simplePos x="0" y="0"/>
            <wp:positionH relativeFrom="column">
              <wp:posOffset>1555115</wp:posOffset>
            </wp:positionH>
            <wp:positionV relativeFrom="paragraph">
              <wp:posOffset>641350</wp:posOffset>
            </wp:positionV>
            <wp:extent cx="4363720" cy="1661795"/>
            <wp:effectExtent l="0" t="0" r="10160" b="14605"/>
            <wp:wrapSquare wrapText="bothSides"/>
            <wp:docPr id="100019" name="图片 100019"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河南教考资源信息网（www.henanjk.com），高考备考的理想选择！"/>
                    <pic:cNvPicPr>
                      <a:picLocks noChangeAspect="1"/>
                    </pic:cNvPicPr>
                  </pic:nvPicPr>
                  <pic:blipFill>
                    <a:blip r:embed="rId12">
                      <a:lum/>
                    </a:blip>
                    <a:stretch>
                      <a:fillRect/>
                    </a:stretch>
                  </pic:blipFill>
                  <pic:spPr>
                    <a:xfrm>
                      <a:off x="0" y="0"/>
                      <a:ext cx="4363720" cy="1661795"/>
                    </a:xfrm>
                    <a:prstGeom prst="rect">
                      <a:avLst/>
                    </a:prstGeom>
                  </pic:spPr>
                </pic:pic>
              </a:graphicData>
            </a:graphic>
          </wp:anchor>
        </w:drawing>
      </w:r>
      <w:r>
        <w:rPr>
          <w:rFonts w:ascii="楷体" w:hAnsi="楷体" w:eastAsia="楷体" w:cs="楷体"/>
          <w:b/>
          <w:bCs/>
        </w:rPr>
        <w:t>植物花粉体积小、质量轻，容易飘散到空气中，成为空气气溶胶的组成部分，大气中的花粉浓度及传播受气象要素的影响较大。伴随城市绿化的推进，致敏花粉问题日益引起社会关注。2025年8月23—24日，某大城市经历了一次低压系统过境。</w:t>
      </w:r>
    </w:p>
    <w:p>
      <w:pPr>
        <w:pStyle w:val="10"/>
        <w:spacing w:line="360" w:lineRule="auto"/>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21．图示时段内，8月22日该地花粉浓度峰值最高的原因是（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A．风向变化明显</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B．空气上升对流强</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C．光照时间较长</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D．低压系统过境</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22．与22日相比，8月23日该地花粉浓度峰值相对偏低，其直接原因是该日（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A．气压降低</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B．气温升高</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C．风力增强</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D．湿度增大</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23．8月24日该地花粉浓度峰值再次出现，反映了该时段（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A．以偏东风为主</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B．气温明显升高</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C．出现持续降雨</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D．空气层结稳定</w:t>
      </w:r>
    </w:p>
    <w:p>
      <w:pPr>
        <w:pStyle w:val="10"/>
        <w:spacing w:line="360" w:lineRule="auto"/>
        <w:ind w:firstLine="560"/>
        <w:jc w:val="left"/>
        <w:textAlignment w:val="center"/>
        <w:rPr>
          <w:rFonts w:ascii="楷体" w:hAnsi="楷体" w:eastAsia="楷体" w:cs="楷体"/>
          <w:b/>
          <w:bCs/>
        </w:rPr>
      </w:pPr>
      <w:r>
        <w:rPr>
          <w:rFonts w:ascii="Times New Roman" w:hAnsi="Times New Roman" w:eastAsia="Times New Roman"/>
          <w:kern w:val="0"/>
          <w:sz w:val="24"/>
          <w:szCs w:val="24"/>
        </w:rPr>
        <w:drawing>
          <wp:anchor distT="0" distB="0" distL="114300" distR="114300" simplePos="0" relativeHeight="251664384" behindDoc="0" locked="0" layoutInCell="1" allowOverlap="1">
            <wp:simplePos x="0" y="0"/>
            <wp:positionH relativeFrom="column">
              <wp:posOffset>4838700</wp:posOffset>
            </wp:positionH>
            <wp:positionV relativeFrom="paragraph">
              <wp:posOffset>303530</wp:posOffset>
            </wp:positionV>
            <wp:extent cx="1753870" cy="1647825"/>
            <wp:effectExtent l="0" t="0" r="0" b="0"/>
            <wp:wrapSquare wrapText="bothSides"/>
            <wp:docPr id="100021" name="图片 100021"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河南教考资源信息网（www.henanjk.com），高考备考的理想选择！"/>
                    <pic:cNvPicPr>
                      <a:picLocks noChangeAspect="1"/>
                    </pic:cNvPicPr>
                  </pic:nvPicPr>
                  <pic:blipFill>
                    <a:blip r:embed="rId13">
                      <a:lum/>
                    </a:blip>
                    <a:stretch>
                      <a:fillRect/>
                    </a:stretch>
                  </pic:blipFill>
                  <pic:spPr>
                    <a:xfrm>
                      <a:off x="0" y="0"/>
                      <a:ext cx="1756796" cy="1650324"/>
                    </a:xfrm>
                    <a:prstGeom prst="rect">
                      <a:avLst/>
                    </a:prstGeom>
                  </pic:spPr>
                </pic:pic>
              </a:graphicData>
            </a:graphic>
          </wp:anchor>
        </w:drawing>
      </w:r>
      <w:r>
        <w:rPr>
          <w:rFonts w:ascii="楷体" w:hAnsi="楷体" w:eastAsia="楷体" w:cs="楷体"/>
          <w:b/>
          <w:bCs/>
        </w:rPr>
        <w:t>2026年3月5日，福建某中学的小明同学乘车返校，途中汽车左转后小明看到落日位于道路的正前方，此刻为北京时间18点。下图为“汽车行进街区道路分布图”。</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24．小明看到落日前后，所乘汽车行驶的路段是（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A．甲→乙</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B．乙→丙</w:t>
      </w:r>
      <w:r>
        <w:rPr>
          <w:rFonts w:hint="eastAsia" w:ascii="宋体" w:hAnsi="宋体" w:eastAsia="宋体" w:cs="宋体"/>
          <w:sz w:val="21"/>
          <w:szCs w:val="21"/>
        </w:rPr>
        <w:tab/>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C．丙→丁</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D．丁→甲</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25．相比该日，五一假期后，小明发现（   ）</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A．早晨上学时太阳的位置更偏南方</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B．上午出操时操场旗杆的影子变短</w:t>
      </w:r>
    </w:p>
    <w:p>
      <w:pPr>
        <w:pStyle w:val="10"/>
        <w:spacing w:line="360"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C．午休时阳光照进教室的面积变大</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D．下午放学时天黑得比之前稍早些</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26．（15分）阅读材料和图表，完成下面问题</w:t>
      </w:r>
    </w:p>
    <w:p>
      <w:pPr>
        <w:pStyle w:val="10"/>
        <w:spacing w:line="360" w:lineRule="auto"/>
        <w:ind w:firstLine="560"/>
        <w:jc w:val="left"/>
        <w:textAlignment w:val="center"/>
        <w:rPr>
          <w:rFonts w:ascii="楷体" w:hAnsi="楷体" w:eastAsia="楷体" w:cs="楷体"/>
        </w:rPr>
      </w:pPr>
      <w:r>
        <w:rPr>
          <w:rFonts w:hint="eastAsia" w:ascii="楷体" w:hAnsi="楷体" w:eastAsia="楷体" w:cs="楷体"/>
          <w:b/>
          <w:bCs/>
        </w:rPr>
        <w:t>材料一：</w:t>
      </w:r>
      <w:r>
        <w:rPr>
          <w:rFonts w:ascii="楷体" w:hAnsi="楷体" w:eastAsia="楷体" w:cs="楷体"/>
          <w:b/>
          <w:bCs/>
        </w:rPr>
        <w:t>2000</w:t>
      </w:r>
      <w:r>
        <w:rPr>
          <w:rFonts w:hint="eastAsia" w:ascii="楷体" w:hAnsi="楷体" w:eastAsia="楷体" w:cs="楷体"/>
          <w:b/>
          <w:bCs/>
        </w:rPr>
        <w:t>-2015年</w:t>
      </w:r>
      <w:r>
        <w:rPr>
          <w:rFonts w:ascii="楷体" w:hAnsi="楷体" w:eastAsia="楷体" w:cs="楷体"/>
          <w:b/>
          <w:bCs/>
        </w:rPr>
        <w:t>间东北地区水稻种植面积在空间分布上发生了明显的变化，主要向东、向北扩展。其中黑龙江地区变化最为显著，黑龙江省水稻种植面积显著增加是东北地区水稻种植空间变化的主要原因。</w:t>
      </w:r>
    </w:p>
    <w:p>
      <w:pPr>
        <w:pStyle w:val="10"/>
        <w:spacing w:line="360" w:lineRule="auto"/>
        <w:rPr>
          <w:rFonts w:ascii="Times New Roman" w:hAnsi="Times New Roman"/>
          <w:szCs w:val="21"/>
        </w:rPr>
      </w:pPr>
      <w:r>
        <w:rPr>
          <w:rFonts w:ascii="Times New Roman" w:hAnsi="Times New Roman"/>
          <w:szCs w:val="21"/>
        </w:rPr>
        <w:drawing>
          <wp:inline distT="0" distB="0" distL="114300" distR="114300">
            <wp:extent cx="5271135" cy="4017645"/>
            <wp:effectExtent l="0" t="0" r="0" b="0"/>
            <wp:docPr id="2" name="图片 2"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河南教考资源信息网（www.henanjk.com），高考备考的理想选择！"/>
                    <pic:cNvPicPr>
                      <a:picLocks noChangeAspect="1"/>
                    </pic:cNvPicPr>
                  </pic:nvPicPr>
                  <pic:blipFill>
                    <a:blip r:embed="rId14">
                      <a:lum/>
                    </a:blip>
                    <a:stretch>
                      <a:fillRect/>
                    </a:stretch>
                  </pic:blipFill>
                  <pic:spPr>
                    <a:xfrm>
                      <a:off x="0" y="0"/>
                      <a:ext cx="5271135" cy="4017645"/>
                    </a:xfrm>
                    <a:prstGeom prst="rect">
                      <a:avLst/>
                    </a:prstGeom>
                    <a:noFill/>
                    <a:ln>
                      <a:noFill/>
                    </a:ln>
                  </pic:spPr>
                </pic:pic>
              </a:graphicData>
            </a:graphic>
          </wp:inline>
        </w:drawing>
      </w:r>
    </w:p>
    <w:p>
      <w:pPr>
        <w:pStyle w:val="10"/>
        <w:spacing w:line="360" w:lineRule="auto"/>
        <w:ind w:firstLine="1470" w:firstLineChars="700"/>
        <w:rPr>
          <w:rFonts w:ascii="Times New Roman" w:hAnsi="Times New Roman"/>
          <w:szCs w:val="21"/>
        </w:rPr>
      </w:pPr>
      <w:r>
        <w:rPr>
          <w:rFonts w:hint="eastAsia" w:ascii="宋体" w:hAnsi="宋体" w:cs="宋体"/>
          <w:szCs w:val="21"/>
        </w:rPr>
        <w:t xml:space="preserve">图1  </w:t>
      </w:r>
      <w:r>
        <w:rPr>
          <w:rFonts w:ascii="宋体" w:hAnsi="宋体" w:cs="宋体"/>
          <w:szCs w:val="21"/>
        </w:rPr>
        <w:t>2000</w:t>
      </w:r>
      <w:r>
        <w:rPr>
          <w:rFonts w:hint="eastAsia" w:ascii="宋体" w:hAnsi="宋体" w:cs="宋体"/>
          <w:szCs w:val="21"/>
        </w:rPr>
        <w:t>-2015年</w:t>
      </w:r>
      <w:r>
        <w:rPr>
          <w:rFonts w:ascii="宋体" w:hAnsi="宋体" w:cs="宋体"/>
          <w:szCs w:val="21"/>
        </w:rPr>
        <w:t>间东北地区水稻种植</w:t>
      </w:r>
      <w:r>
        <w:rPr>
          <w:rFonts w:hint="eastAsia" w:ascii="宋体" w:hAnsi="宋体" w:cs="宋体"/>
          <w:szCs w:val="21"/>
        </w:rPr>
        <w:t>重心的变化</w:t>
      </w:r>
    </w:p>
    <w:p>
      <w:pPr>
        <w:pStyle w:val="10"/>
        <w:spacing w:line="360" w:lineRule="auto"/>
        <w:ind w:firstLine="560"/>
        <w:jc w:val="left"/>
        <w:textAlignment w:val="center"/>
        <w:rPr>
          <w:rFonts w:hint="eastAsia" w:ascii="楷体" w:hAnsi="楷体" w:eastAsia="楷体" w:cs="楷体"/>
        </w:rPr>
      </w:pPr>
    </w:p>
    <w:p>
      <w:pPr>
        <w:pStyle w:val="10"/>
        <w:spacing w:line="360" w:lineRule="auto"/>
        <w:ind w:firstLine="560"/>
        <w:jc w:val="left"/>
        <w:textAlignment w:val="center"/>
        <w:rPr>
          <w:rFonts w:ascii="楷体" w:hAnsi="楷体" w:eastAsia="楷体" w:cs="楷体"/>
          <w:b/>
          <w:bCs/>
        </w:rPr>
      </w:pPr>
      <w:r>
        <w:rPr>
          <w:rFonts w:hint="eastAsia" w:ascii="楷体" w:hAnsi="楷体" w:eastAsia="楷体" w:cs="楷体"/>
          <w:b/>
          <w:bCs/>
        </w:rPr>
        <w:t>材料二：土地流转是中国特色农地制度中的重要概念，指在不改变农村土地集体所有制性质和农业用途的前提下，通过市场机制实现土地经营权的有序转移与再配置。土地细碎化问题会显著增加农业生产经营成本，限制大型机械设备的使用，并削弱机械化对农业生产效率的推动作用。因此，通过完善土地交易和流转市场，促进土地的有序流转，能够优化耕地资源的配置，使农业生产效率更高的农户获得更多的耕地经营权，从而提升要素配置效率，推动农业生产率的进一步提高。</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1</w:t>
      </w:r>
      <w:r>
        <w:rPr>
          <w:rFonts w:hint="eastAsia" w:ascii="宋体" w:hAnsi="宋体" w:eastAsia="宋体" w:cs="宋体"/>
          <w:sz w:val="21"/>
          <w:szCs w:val="21"/>
        </w:rPr>
        <w:t>）读材料和图1归纳2000-2015年东北三省水稻种植面积变化的主要特征。（4分）</w:t>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（2）简述2000-2015年间黑龙江省水稻种植面积显著增加的人为原因。（5分）</w:t>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（3）从土地流转与收入水平关系的角度评价东北三省农户土地流转的效果。（6分）</w:t>
      </w: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27．（15分）阅读图文材料，完成下列要求。</w:t>
      </w:r>
    </w:p>
    <w:p>
      <w:pPr>
        <w:pStyle w:val="10"/>
        <w:spacing w:line="360" w:lineRule="auto"/>
        <w:ind w:firstLine="560"/>
        <w:jc w:val="left"/>
        <w:textAlignment w:val="center"/>
        <w:rPr>
          <w:rFonts w:hint="eastAsia" w:ascii="楷体" w:hAnsi="楷体" w:eastAsia="楷体" w:cs="楷体"/>
          <w:b/>
          <w:bCs/>
        </w:rPr>
      </w:pPr>
      <w:r>
        <w:rPr>
          <w:rFonts w:hint="eastAsia" w:ascii="楷体" w:hAnsi="楷体" w:eastAsia="楷体" w:cs="楷体"/>
          <w:b/>
          <w:bCs/>
        </w:rPr>
        <w:t>黄河流域是连接青藏高原、黄土高原和华北平原的生态廊道，在区域发展中具有重要的战略地位。2020年12月至2021年11月，黄河流域近120个自动监测站点监测数据反映总氮（水体中的各种形态氮元素的总和，如果超标易引起水体富营养化）在多数站点严重超标（下图），山东省总氮治理难度大。近年来，山东省通过推行“湾长制”、实施入海总氮治理等系列举措，使其区域内水质持续向好，水质由轻度污染提升至良好水平。</w:t>
      </w:r>
    </w:p>
    <w:p>
      <w:pPr>
        <w:pStyle w:val="10"/>
        <w:spacing w:line="360" w:lineRule="auto"/>
        <w:jc w:val="left"/>
        <w:textAlignment w:val="center"/>
        <w:rPr>
          <w:rFonts w:ascii="Times New Roman" w:hAnsi="Times New Roman"/>
        </w:rPr>
      </w:pPr>
      <w:r>
        <w:rPr>
          <w:rFonts w:ascii="Times New Roman" w:hAnsi="Times New Roman" w:eastAsia="Times New Roman"/>
          <w:kern w:val="0"/>
          <w:sz w:val="24"/>
          <w:szCs w:val="24"/>
        </w:rPr>
        <w:drawing>
          <wp:inline distT="0" distB="0" distL="114300" distR="114300">
            <wp:extent cx="4675505" cy="2676525"/>
            <wp:effectExtent l="0" t="0" r="3175" b="5715"/>
            <wp:docPr id="100025" name="图片 100025"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河南教考资源信息网（www.henanjk.com），高考备考的理想选择！"/>
                    <pic:cNvPicPr>
                      <a:picLocks noChangeAspect="1"/>
                    </pic:cNvPicPr>
                  </pic:nvPicPr>
                  <pic:blipFill>
                    <a:blip r:embed="rId15">
                      <a:lum/>
                    </a:blip>
                    <a:stretch>
                      <a:fillRect/>
                    </a:stretch>
                  </pic:blipFill>
                  <pic:spPr>
                    <a:xfrm>
                      <a:off x="0" y="0"/>
                      <a:ext cx="4675505" cy="2676525"/>
                    </a:xfrm>
                    <a:prstGeom prst="rect">
                      <a:avLst/>
                    </a:prstGeom>
                  </pic:spPr>
                </pic:pic>
              </a:graphicData>
            </a:graphic>
          </wp:inline>
        </w:drawing>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(1)与其他省级行政区比较，分析山东省总氮治理难度大的原因。（6分）</w:t>
      </w: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(2)根据“谁污染，谁治理”“谁受益，谁付费”的基本原则，说明山东与上游省份在水污染治理中应分别承担的责任。（3分）</w:t>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(3)为缓解山东本省水污染治理压力，从行政、经济、技术三个层面任选一个角度列举具体措施。（6分）</w:t>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28．（20分）阅读图文材料，完成下列要求。</w:t>
      </w:r>
    </w:p>
    <w:p>
      <w:pPr>
        <w:pStyle w:val="10"/>
        <w:spacing w:line="360" w:lineRule="auto"/>
        <w:ind w:firstLine="560"/>
        <w:jc w:val="left"/>
        <w:textAlignment w:val="center"/>
        <w:rPr>
          <w:rFonts w:hint="eastAsia" w:ascii="楷体" w:hAnsi="楷体" w:eastAsia="楷体" w:cs="楷体"/>
          <w:b/>
          <w:bCs/>
        </w:rPr>
      </w:pPr>
      <w:r>
        <w:rPr>
          <w:rFonts w:ascii="Times New Roman" w:hAnsi="Times New Roman" w:eastAsia="Times New Roman"/>
          <w:kern w:val="0"/>
          <w:sz w:val="24"/>
          <w:szCs w:val="24"/>
        </w:rPr>
        <w:drawing>
          <wp:anchor distT="0" distB="0" distL="114300" distR="114300" simplePos="0" relativeHeight="251665408" behindDoc="0" locked="0" layoutInCell="1" allowOverlap="1">
            <wp:simplePos x="0" y="0"/>
            <wp:positionH relativeFrom="column">
              <wp:posOffset>4297680</wp:posOffset>
            </wp:positionH>
            <wp:positionV relativeFrom="paragraph">
              <wp:posOffset>982980</wp:posOffset>
            </wp:positionV>
            <wp:extent cx="2333625" cy="2743200"/>
            <wp:effectExtent l="0" t="0" r="0" b="0"/>
            <wp:wrapSquare wrapText="bothSides"/>
            <wp:docPr id="100027" name="图片 100027" descr="河南教考资源信息网（www.henanjk.com），高考备考的理想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河南教考资源信息网（www.henanjk.com），高考备考的理想选择！"/>
                    <pic:cNvPicPr>
                      <a:picLocks noChangeAspect="1"/>
                    </pic:cNvPicPr>
                  </pic:nvPicPr>
                  <pic:blipFill>
                    <a:blip r:embed="rId16">
                      <a:lum/>
                    </a:blip>
                    <a:stretch>
                      <a:fillRect/>
                    </a:stretch>
                  </pic:blipFill>
                  <pic:spPr>
                    <a:xfrm>
                      <a:off x="0" y="0"/>
                      <a:ext cx="2333625" cy="2743200"/>
                    </a:xfrm>
                    <a:prstGeom prst="rect">
                      <a:avLst/>
                    </a:prstGeom>
                  </pic:spPr>
                </pic:pic>
              </a:graphicData>
            </a:graphic>
          </wp:anchor>
        </w:drawing>
      </w:r>
      <w:r>
        <w:rPr>
          <w:rFonts w:hint="eastAsia" w:ascii="楷体" w:hAnsi="楷体" w:eastAsia="楷体" w:cs="楷体"/>
          <w:b/>
          <w:bCs/>
        </w:rPr>
        <w:t>刚果（金）东南部的铜钴矿区是全球最大的铜钴资源富集区之一，早期该地初级矿产品主要经跨国公路南下德班港出口。近年来，中国企业投资修复了通往安哥拉洛比托港的跨境铁路，大幅提升运行速度，沿线产业活动日益集聚形成跨境经济走廊。此后，中国企业在卢本巴希等城市建设铜钴加工基地及相关配套设施。下图示意刚果（金）东南部铜钴矿及产品外运路线。</w:t>
      </w: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(1)与早期南下德班港路线相比，说明经洛比托铁路外运矿产品的优越性。（6分）</w:t>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(2)说明洛比托铁路的修复及运营对构建刚果（金）与安哥拉间跨境经济走廊的作用。（6分）</w:t>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(3)分析中国企业在铜钴矿区建设加工基地及配套设施，对提升该矿区铜钴产品市场竞争力的作用。（6分）</w:t>
      </w: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p>
    <w:p>
      <w:pPr>
        <w:pStyle w:val="10"/>
        <w:spacing w:line="36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(4)说明铜钴矿区外运路线的开辟及加工深度的提高，对保障我国铜钴资源供应安全的影响。（2分）</w:t>
      </w: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p>
      <w:pPr>
        <w:pStyle w:val="10"/>
        <w:spacing w:line="360" w:lineRule="auto"/>
        <w:jc w:val="left"/>
        <w:textAlignment w:val="center"/>
        <w:rPr>
          <w:rFonts w:ascii="Times New Roman" w:hAnsi="Times New Roma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4"/>
        <w:gridCol w:w="664"/>
        <w:gridCol w:w="664"/>
        <w:gridCol w:w="664"/>
        <w:gridCol w:w="664"/>
        <w:gridCol w:w="665"/>
        <w:gridCol w:w="665"/>
        <w:gridCol w:w="665"/>
        <w:gridCol w:w="665"/>
        <w:gridCol w:w="665"/>
        <w:gridCol w:w="665"/>
        <w:gridCol w:w="665"/>
        <w:gridCol w:w="665"/>
        <w:gridCol w:w="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2</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3</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4</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5</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6</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7</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8</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9</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10</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11</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12</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13</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14</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A</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C</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B</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C</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C</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C</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B</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C</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B</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16</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17</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18</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19</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20</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21</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22</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23</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24</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25</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A</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C</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B</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C</w:t>
            </w:r>
          </w:p>
        </w:tc>
        <w:tc>
          <w:tcPr>
            <w:tcW w:w="664"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B</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A</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D</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r>
              <w:rPr>
                <w:rFonts w:ascii="Times New Roman" w:hAnsi="Times New Roman" w:eastAsia="宋体" w:cs="Times New Roman"/>
                <w:lang w:eastAsia="en-US"/>
              </w:rPr>
              <w:t>B</w:t>
            </w: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c>
          <w:tcPr>
            <w:tcW w:w="665"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eastAsia="宋体" w:cs="Times New Roman"/>
                <w:lang w:eastAsia="en-US"/>
              </w:rPr>
            </w:pPr>
          </w:p>
        </w:tc>
      </w:tr>
    </w:tbl>
    <w:p>
      <w:pPr>
        <w:pStyle w:val="10"/>
        <w:numPr>
          <w:ilvl w:val="0"/>
          <w:numId w:val="1"/>
        </w:numPr>
        <w:spacing w:line="360" w:lineRule="auto"/>
        <w:rPr>
          <w:rFonts w:hint="eastAsia" w:ascii="宋体" w:hAnsi="宋体" w:eastAsia="宋体" w:cs="宋体"/>
        </w:rPr>
      </w:pPr>
      <w:r>
        <w:rPr>
          <w:rFonts w:hint="eastAsia" w:ascii="宋体" w:hAnsi="宋体" w:cs="宋体"/>
          <w:lang w:val="en-US" w:eastAsia="zh-CN"/>
        </w:rPr>
        <w:t xml:space="preserve"> </w:t>
      </w:r>
      <w:r>
        <w:rPr>
          <w:rFonts w:hint="eastAsia" w:ascii="宋体" w:hAnsi="宋体" w:eastAsia="宋体" w:cs="宋体"/>
        </w:rPr>
        <w:t>(1)北部增加、南部减少；主要集中黑龙江。（每点2分，共4分）</w:t>
      </w:r>
    </w:p>
    <w:p>
      <w:pPr>
        <w:pStyle w:val="10"/>
        <w:spacing w:line="360" w:lineRule="auto"/>
        <w:ind w:firstLine="420" w:firstLineChars="200"/>
        <w:rPr>
          <w:rFonts w:hint="eastAsia" w:ascii="宋体" w:hAnsi="宋体" w:eastAsia="宋体" w:cs="宋体"/>
        </w:rPr>
      </w:pPr>
      <w:r>
        <w:rPr>
          <w:rFonts w:hint="eastAsia" w:ascii="宋体" w:hAnsi="宋体" w:eastAsia="宋体" w:cs="宋体"/>
        </w:rPr>
        <w:t>（2）政策支持、良种推广、种植技术进步、土地流转规模化、市场需求扩大、机械化水平提高（每点1分，共5分）</w:t>
      </w:r>
    </w:p>
    <w:p>
      <w:pPr>
        <w:pStyle w:val="10"/>
        <w:spacing w:line="360" w:lineRule="auto"/>
        <w:ind w:firstLine="420" w:firstLineChars="200"/>
        <w:rPr>
          <w:rFonts w:hint="eastAsia" w:ascii="宋体" w:hAnsi="宋体" w:eastAsia="宋体" w:cs="宋体"/>
        </w:rPr>
      </w:pPr>
      <w:r>
        <w:rPr>
          <w:rFonts w:hint="eastAsia" w:ascii="宋体" w:hAnsi="宋体" w:eastAsia="宋体" w:cs="宋体"/>
        </w:rPr>
        <w:t>（3）有利影响：促进土地规模化经营，提高农业生产效率，增加农业经营收入；推动农村劳动力向非农产业转移，拓宽收入渠道，提高非农收入。不利影响：易导致农户间收入差距扩大，对低收入农户增收作用有限；土地流转收益偏低，对提升农户整体收入与缩小贫困差距效果不显著。（每点 2 分，任答 3 点即可得6分，必须有利 + 不利都答）</w:t>
      </w:r>
    </w:p>
    <w:p>
      <w:pPr>
        <w:pStyle w:val="10"/>
        <w:spacing w:line="360" w:lineRule="auto"/>
        <w:rPr>
          <w:rFonts w:hint="eastAsia" w:ascii="宋体" w:hAnsi="宋体" w:eastAsia="宋体" w:cs="宋体"/>
        </w:rPr>
      </w:pPr>
      <w:r>
        <w:rPr>
          <w:rFonts w:hint="eastAsia" w:ascii="宋体" w:hAnsi="宋体" w:eastAsia="宋体" w:cs="宋体"/>
        </w:rPr>
        <w:t>27.</w:t>
      </w:r>
      <w:r>
        <w:rPr>
          <w:rFonts w:hint="eastAsia" w:ascii="宋体" w:hAnsi="宋体" w:cs="宋体"/>
          <w:lang w:val="en-US" w:eastAsia="zh-CN"/>
        </w:rPr>
        <w:t xml:space="preserve">  </w:t>
      </w:r>
      <w:r>
        <w:rPr>
          <w:rFonts w:hint="eastAsia" w:ascii="宋体" w:hAnsi="宋体" w:eastAsia="宋体" w:cs="宋体"/>
        </w:rPr>
        <w:t>(1)其他省份生产生活排放的总氮随干流传输至山东省形成外源输入与本地排放叠加，总量大；黄河山东段地上河/黄河山东段支流少，水体更新慢、自净能力弱；河口受潮水顶托作用影响，污染物扩散受阻，山东省总氮治理难度大。（每一点2分，共6分）</w:t>
      </w:r>
    </w:p>
    <w:p>
      <w:pPr>
        <w:pStyle w:val="10"/>
        <w:spacing w:line="360" w:lineRule="auto"/>
        <w:ind w:firstLine="420" w:firstLineChars="200"/>
        <w:rPr>
          <w:rFonts w:hint="eastAsia" w:ascii="宋体" w:hAnsi="宋体" w:eastAsia="宋体" w:cs="宋体"/>
        </w:rPr>
      </w:pPr>
      <w:r>
        <w:rPr>
          <w:rFonts w:hint="eastAsia" w:ascii="宋体" w:hAnsi="宋体" w:eastAsia="宋体" w:cs="宋体"/>
        </w:rPr>
        <w:t>(2)山东位于黄河下游，承担本地污染治理责任；作为上游省份治理后的下游最大的受益省份，要支付生态补偿费用。上游省份区域大，作为污染主要排放区，承担污染治理主体责任，责任在于减少总氮等污染物排放并治理水污染。（每一点1分，共3分）</w:t>
      </w:r>
    </w:p>
    <w:p>
      <w:pPr>
        <w:pStyle w:val="10"/>
        <w:spacing w:line="360" w:lineRule="auto"/>
        <w:ind w:firstLine="420" w:firstLineChars="200"/>
        <w:rPr>
          <w:rFonts w:hint="eastAsia" w:ascii="宋体" w:hAnsi="宋体" w:eastAsia="宋体" w:cs="宋体"/>
        </w:rPr>
      </w:pPr>
      <w:r>
        <w:rPr>
          <w:rFonts w:hint="eastAsia" w:ascii="宋体" w:hAnsi="宋体" w:eastAsia="宋体" w:cs="宋体"/>
        </w:rPr>
        <w:t>(3)行政层面：推行河长制、湾长制，成立黄河水利委员会；主张建立跨区域联合执法机制，出台严格的排污管控法规；强化偷排漏排行为的处罚力度等。</w:t>
      </w:r>
    </w:p>
    <w:p>
      <w:pPr>
        <w:pStyle w:val="10"/>
        <w:spacing w:line="360" w:lineRule="auto"/>
        <w:rPr>
          <w:rFonts w:hint="eastAsia" w:ascii="宋体" w:hAnsi="宋体" w:eastAsia="宋体" w:cs="宋体"/>
        </w:rPr>
      </w:pPr>
      <w:r>
        <w:rPr>
          <w:rFonts w:hint="eastAsia" w:ascii="宋体" w:hAnsi="宋体" w:eastAsia="宋体" w:cs="宋体"/>
        </w:rPr>
        <w:t>经济层面：进行生态补偿；进行产业结构调整；对绿色农业、清洁生产企业给予税收优惠；对超标排污企业征收高额排污费。</w:t>
      </w:r>
    </w:p>
    <w:p>
      <w:pPr>
        <w:pStyle w:val="10"/>
        <w:spacing w:line="360" w:lineRule="auto"/>
        <w:rPr>
          <w:rFonts w:hint="eastAsia" w:ascii="宋体" w:hAnsi="宋体" w:eastAsia="宋体" w:cs="宋体"/>
        </w:rPr>
      </w:pPr>
      <w:r>
        <w:rPr>
          <w:rFonts w:hint="eastAsia" w:ascii="宋体" w:hAnsi="宋体" w:eastAsia="宋体" w:cs="宋体"/>
        </w:rPr>
        <w:t>技术层面：实施实时动态监测技术，进行各监测点互联监测；实施生态修复技术，进行生态修复；实施工程技术，进行工程修复。（每一点2分，共6分）</w:t>
      </w:r>
    </w:p>
    <w:p>
      <w:pPr>
        <w:pStyle w:val="10"/>
        <w:numPr>
          <w:ilvl w:val="0"/>
          <w:numId w:val="1"/>
        </w:numPr>
        <w:spacing w:line="360" w:lineRule="auto"/>
        <w:ind w:left="0" w:leftChars="0" w:firstLine="0" w:firstLineChars="0"/>
        <w:rPr>
          <w:rFonts w:hint="eastAsia" w:ascii="宋体" w:hAnsi="宋体" w:eastAsia="宋体" w:cs="宋体"/>
        </w:rPr>
      </w:pPr>
      <w:r>
        <w:rPr>
          <w:rFonts w:hint="eastAsia" w:ascii="宋体" w:hAnsi="宋体" w:cs="宋体"/>
          <w:lang w:val="en-US" w:eastAsia="zh-CN"/>
        </w:rPr>
        <w:t xml:space="preserve"> </w:t>
      </w:r>
      <w:r>
        <w:rPr>
          <w:rFonts w:hint="eastAsia" w:ascii="宋体" w:hAnsi="宋体" w:eastAsia="宋体" w:cs="宋体"/>
        </w:rPr>
        <w:t>(1)陆路运输距离显著缩短，大幅降低矿区至港口间的运输成本；铁路运量大、连续性好；过境国家减少，跨境手续更简便，运输效率更高。（每一点2分，共6分）</w:t>
      </w:r>
    </w:p>
    <w:p>
      <w:pPr>
        <w:pStyle w:val="10"/>
        <w:spacing w:line="360" w:lineRule="auto"/>
        <w:ind w:firstLine="420" w:firstLineChars="200"/>
        <w:rPr>
          <w:rFonts w:hint="eastAsia" w:ascii="宋体" w:hAnsi="宋体" w:eastAsia="宋体" w:cs="宋体"/>
        </w:rPr>
      </w:pPr>
      <w:r>
        <w:rPr>
          <w:rFonts w:hint="eastAsia" w:ascii="宋体" w:hAnsi="宋体" w:eastAsia="宋体" w:cs="宋体"/>
        </w:rPr>
        <w:t>(2)完善跨境基础设施，构建内陆资源区与沿海港口间的运输通道/加强内陆腹地与沿海地区的经济联系；促进资源、资金、技术等要素在两国间流动，实现优势互补；促进区域分工与协作/产业集聚/产业优化布局。</w:t>
      </w:r>
    </w:p>
    <w:p>
      <w:pPr>
        <w:pStyle w:val="10"/>
        <w:spacing w:line="360" w:lineRule="auto"/>
        <w:rPr>
          <w:rFonts w:hint="eastAsia" w:ascii="宋体" w:hAnsi="宋体" w:eastAsia="宋体" w:cs="宋体"/>
        </w:rPr>
      </w:pPr>
      <w:r>
        <w:rPr>
          <w:rFonts w:hint="eastAsia" w:ascii="宋体" w:hAnsi="宋体" w:eastAsia="宋体" w:cs="宋体"/>
        </w:rPr>
        <w:t>或【加强内陆资源区与沿海港口的联系；促进资源、资金、技术、劳动力等要素（在沿线地区）流动；推动相关产业（在沿线地区）集聚，形成经济走廊。】（每一点2分，共6分）</w:t>
      </w:r>
    </w:p>
    <w:p>
      <w:pPr>
        <w:pStyle w:val="10"/>
        <w:spacing w:line="360" w:lineRule="auto"/>
        <w:ind w:firstLine="420" w:firstLineChars="200"/>
        <w:rPr>
          <w:rFonts w:hint="eastAsia" w:ascii="宋体" w:hAnsi="宋体" w:eastAsia="宋体" w:cs="宋体"/>
        </w:rPr>
      </w:pPr>
      <w:r>
        <w:rPr>
          <w:rFonts w:hint="eastAsia" w:ascii="宋体" w:hAnsi="宋体" w:eastAsia="宋体" w:cs="宋体"/>
        </w:rPr>
        <w:t>(3)利用当地廉价水电，降低加工环节的能源动力成本/当地劳动力、土地成本低；原矿精加工减轻运输重量，节省单位产品的运费成本；提升产品质量检测/品质控制稳定性/提高产品附加值。（每一点2分，共6分）</w:t>
      </w:r>
    </w:p>
    <w:p>
      <w:pPr>
        <w:pStyle w:val="10"/>
        <w:spacing w:line="360" w:lineRule="auto"/>
        <w:ind w:firstLine="420" w:firstLineChars="200"/>
        <w:rPr>
          <w:rFonts w:hint="eastAsia" w:ascii="宋体" w:hAnsi="宋体" w:eastAsia="宋体" w:cs="宋体"/>
        </w:rPr>
      </w:pPr>
      <w:r>
        <w:rPr>
          <w:rFonts w:hint="eastAsia" w:ascii="宋体" w:hAnsi="宋体" w:eastAsia="宋体" w:cs="宋体"/>
        </w:rPr>
        <w:t>(4)实现运输路线多元化/降低对单一南部通道的依赖/深加工运输压力减小；保障资源来源多元化/促进两国经济深度合作，增强我国资源供应链的稳定性。（每一点1分，共2分）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 BDACB   6-10 ADDCC  11-15 AACDA  16-20 DCACB  21-25 ABDBC</w:t>
      </w:r>
    </w:p>
    <w:p>
      <w:pPr>
        <w:rPr>
          <w:rFonts w:hint="eastAsia" w:ascii="宋体" w:hAnsi="宋体" w:eastAsia="宋体" w:cs="宋体"/>
          <w:sz w:val="24"/>
          <w:szCs w:val="24"/>
          <w:lang w:val="en-US" w:eastAsia="zh-CN"/>
        </w:rPr>
      </w:pPr>
    </w:p>
    <w:p>
      <w:pPr>
        <w:numPr>
          <w:ilvl w:val="0"/>
          <w:numId w:val="0"/>
        </w:numPr>
        <w:spacing w:line="360" w:lineRule="auto"/>
        <w:textAlignment w:val="center"/>
        <w:rPr>
          <w:color w:val="000000"/>
          <w:sz w:val="24"/>
          <w:szCs w:val="32"/>
        </w:rPr>
      </w:pPr>
      <w:r>
        <w:rPr>
          <w:rFonts w:asciiTheme="minorHAnsi" w:hAnsiTheme="minorHAnsi" w:eastAsiaTheme="minorEastAsia" w:cstheme="minorBidi"/>
          <w:color w:val="000000"/>
          <w:kern w:val="2"/>
          <w:sz w:val="24"/>
          <w:szCs w:val="32"/>
          <w:lang w:val="en-US" w:eastAsia="zh-CN" w:bidi="ar-SA"/>
        </w:rPr>
        <w:t>26.</w:t>
      </w:r>
      <w:r>
        <w:rPr>
          <w:color w:val="000000"/>
          <w:sz w:val="24"/>
          <w:szCs w:val="32"/>
        </w:rPr>
        <w:t>（1）</w:t>
      </w:r>
      <w:r>
        <w:rPr>
          <w:rFonts w:ascii="宋体" w:hAnsi="宋体" w:eastAsia="宋体" w:cs="宋体"/>
          <w:color w:val="000000"/>
          <w:sz w:val="24"/>
          <w:szCs w:val="32"/>
        </w:rPr>
        <w:t>该地为热带草原气候，</w:t>
      </w:r>
      <w:r>
        <w:rPr>
          <w:rFonts w:ascii="Times New Roman" w:hAnsi="Times New Roman" w:eastAsia="Times New Roman" w:cs="Times New Roman"/>
          <w:color w:val="000000"/>
          <w:sz w:val="24"/>
          <w:szCs w:val="32"/>
        </w:rPr>
        <w:t>5~9</w:t>
      </w:r>
      <w:r>
        <w:rPr>
          <w:rFonts w:ascii="宋体" w:hAnsi="宋体" w:eastAsia="宋体" w:cs="宋体"/>
          <w:color w:val="000000"/>
          <w:sz w:val="24"/>
          <w:szCs w:val="32"/>
        </w:rPr>
        <w:t>月降水少；植被稀疏，视野开阔；野生动物聚集在水源附近。</w:t>
      </w:r>
      <w:r>
        <w:rPr>
          <w:color w:val="000000"/>
          <w:sz w:val="24"/>
          <w:szCs w:val="32"/>
        </w:rPr>
        <w:t xml:space="preserve">    </w:t>
      </w:r>
    </w:p>
    <w:p>
      <w:pPr>
        <w:spacing w:line="360" w:lineRule="auto"/>
        <w:textAlignment w:val="center"/>
        <w:rPr>
          <w:color w:val="000000"/>
          <w:sz w:val="24"/>
          <w:szCs w:val="32"/>
        </w:rPr>
      </w:pPr>
      <w:r>
        <w:rPr>
          <w:color w:val="000000"/>
          <w:sz w:val="24"/>
          <w:szCs w:val="32"/>
        </w:rPr>
        <w:t>（2）</w:t>
      </w:r>
      <w:r>
        <w:rPr>
          <w:rFonts w:ascii="宋体" w:hAnsi="宋体" w:eastAsia="宋体" w:cs="宋体"/>
          <w:color w:val="000000"/>
          <w:sz w:val="24"/>
          <w:szCs w:val="32"/>
        </w:rPr>
        <w:t>降低出口成本，提升市场竞争力；扩大市场；实现市场多元化。</w:t>
      </w:r>
      <w:r>
        <w:rPr>
          <w:color w:val="000000"/>
          <w:sz w:val="24"/>
          <w:szCs w:val="32"/>
        </w:rPr>
        <w:t xml:space="preserve">    </w:t>
      </w:r>
    </w:p>
    <w:p>
      <w:pPr>
        <w:numPr>
          <w:ilvl w:val="0"/>
          <w:numId w:val="0"/>
        </w:numPr>
        <w:rPr>
          <w:rFonts w:ascii="宋体" w:hAnsi="宋体" w:eastAsia="宋体" w:cs="宋体"/>
          <w:color w:val="000000"/>
          <w:sz w:val="24"/>
          <w:szCs w:val="32"/>
        </w:rPr>
      </w:pPr>
      <w:r>
        <w:rPr>
          <w:color w:val="000000"/>
          <w:sz w:val="24"/>
          <w:szCs w:val="32"/>
        </w:rPr>
        <w:t>（3）</w:t>
      </w:r>
      <w:r>
        <w:rPr>
          <w:rFonts w:ascii="宋体" w:hAnsi="宋体" w:eastAsia="宋体" w:cs="宋体"/>
          <w:color w:val="000000"/>
          <w:sz w:val="24"/>
          <w:szCs w:val="32"/>
        </w:rPr>
        <w:t>充分利用风能太阳能，增加清洁能源供应；优化能源结构；提高能源供给稳定性。</w:t>
      </w:r>
    </w:p>
    <w:p>
      <w:pPr>
        <w:numPr>
          <w:ilvl w:val="0"/>
          <w:numId w:val="0"/>
        </w:numPr>
        <w:rPr>
          <w:rFonts w:ascii="宋体" w:hAnsi="宋体" w:eastAsia="宋体" w:cs="宋体"/>
          <w:color w:val="000000"/>
          <w:sz w:val="24"/>
          <w:szCs w:val="32"/>
        </w:rPr>
      </w:pPr>
    </w:p>
    <w:p>
      <w:pPr>
        <w:numPr>
          <w:ilvl w:val="0"/>
          <w:numId w:val="0"/>
        </w:numPr>
        <w:spacing w:line="360" w:lineRule="auto"/>
        <w:ind w:left="0" w:leftChars="0" w:firstLine="0" w:firstLineChars="0"/>
        <w:textAlignment w:val="center"/>
        <w:rPr>
          <w:rFonts w:asciiTheme="minorHAnsi" w:hAnsiTheme="minorHAnsi" w:eastAsiaTheme="minorEastAsia" w:cstheme="minorBidi"/>
          <w:color w:val="000000"/>
          <w:kern w:val="2"/>
          <w:sz w:val="24"/>
          <w:szCs w:val="32"/>
          <w:lang w:val="en-US" w:eastAsia="zh-CN" w:bidi="ar-SA"/>
        </w:rPr>
      </w:pPr>
    </w:p>
    <w:p>
      <w:pPr>
        <w:numPr>
          <w:ilvl w:val="0"/>
          <w:numId w:val="0"/>
        </w:numPr>
        <w:spacing w:line="360" w:lineRule="auto"/>
        <w:ind w:left="0" w:leftChars="0" w:firstLine="0" w:firstLineChars="0"/>
        <w:textAlignment w:val="center"/>
        <w:rPr>
          <w:color w:val="000000"/>
          <w:sz w:val="24"/>
          <w:szCs w:val="32"/>
        </w:rPr>
      </w:pPr>
      <w:r>
        <w:rPr>
          <w:rFonts w:asciiTheme="minorHAnsi" w:hAnsiTheme="minorHAnsi" w:eastAsiaTheme="minorEastAsia" w:cstheme="minorBidi"/>
          <w:color w:val="000000"/>
          <w:kern w:val="2"/>
          <w:sz w:val="24"/>
          <w:szCs w:val="32"/>
          <w:lang w:val="en-US" w:eastAsia="zh-CN" w:bidi="ar-SA"/>
        </w:rPr>
        <w:t>27.</w:t>
      </w:r>
      <w:r>
        <w:rPr>
          <w:color w:val="000000"/>
          <w:sz w:val="24"/>
          <w:szCs w:val="32"/>
        </w:rPr>
        <w:t xml:space="preserve">（1） ①. </w:t>
      </w:r>
      <w:r>
        <w:rPr>
          <w:rFonts w:ascii="宋体" w:hAnsi="宋体" w:eastAsia="宋体" w:cs="宋体"/>
          <w:color w:val="000000"/>
          <w:sz w:val="24"/>
          <w:szCs w:val="32"/>
        </w:rPr>
        <w:t>资金（资源）</w:t>
      </w:r>
      <w:r>
        <w:rPr>
          <w:color w:val="000000"/>
          <w:sz w:val="24"/>
          <w:szCs w:val="32"/>
        </w:rPr>
        <w:t xml:space="preserve">    </w:t>
      </w:r>
    </w:p>
    <w:p>
      <w:pPr>
        <w:numPr>
          <w:ilvl w:val="0"/>
          <w:numId w:val="0"/>
        </w:numPr>
        <w:spacing w:line="360" w:lineRule="auto"/>
        <w:ind w:leftChars="0" w:firstLine="1200" w:firstLineChars="500"/>
        <w:textAlignment w:val="center"/>
        <w:rPr>
          <w:color w:val="000000"/>
          <w:sz w:val="24"/>
          <w:szCs w:val="32"/>
        </w:rPr>
      </w:pPr>
      <w:r>
        <w:rPr>
          <w:color w:val="000000"/>
          <w:sz w:val="24"/>
          <w:szCs w:val="32"/>
        </w:rPr>
        <w:t xml:space="preserve">②. </w:t>
      </w:r>
      <w:r>
        <w:rPr>
          <w:rFonts w:ascii="宋体" w:hAnsi="宋体" w:eastAsia="宋体" w:cs="宋体"/>
          <w:color w:val="000000"/>
          <w:sz w:val="24"/>
          <w:szCs w:val="32"/>
        </w:rPr>
        <w:t>技术</w:t>
      </w:r>
      <w:r>
        <w:rPr>
          <w:color w:val="000000"/>
          <w:sz w:val="24"/>
          <w:szCs w:val="32"/>
        </w:rPr>
        <w:t xml:space="preserve">    </w:t>
      </w:r>
    </w:p>
    <w:p>
      <w:pPr>
        <w:numPr>
          <w:ilvl w:val="0"/>
          <w:numId w:val="0"/>
        </w:numPr>
        <w:spacing w:line="360" w:lineRule="auto"/>
        <w:ind w:leftChars="0" w:firstLine="1200" w:firstLineChars="500"/>
        <w:textAlignment w:val="center"/>
        <w:rPr>
          <w:color w:val="000000"/>
          <w:sz w:val="24"/>
          <w:szCs w:val="32"/>
        </w:rPr>
      </w:pPr>
      <w:r>
        <w:rPr>
          <w:color w:val="000000"/>
          <w:sz w:val="24"/>
          <w:szCs w:val="32"/>
        </w:rPr>
        <w:t xml:space="preserve">③. </w:t>
      </w:r>
      <w:r>
        <w:rPr>
          <w:rFonts w:ascii="宋体" w:hAnsi="宋体" w:eastAsia="宋体" w:cs="宋体"/>
          <w:color w:val="000000"/>
          <w:sz w:val="24"/>
          <w:szCs w:val="32"/>
        </w:rPr>
        <w:t>劳动力成本上升；资源、能源紧张；环境污染严重；掌握半导体核心技术；产品附加值高；市场需求旺盛。</w:t>
      </w:r>
      <w:r>
        <w:rPr>
          <w:color w:val="000000"/>
          <w:sz w:val="24"/>
          <w:szCs w:val="32"/>
        </w:rPr>
        <w:t xml:space="preserve">    </w:t>
      </w:r>
    </w:p>
    <w:p>
      <w:pPr>
        <w:spacing w:line="360" w:lineRule="auto"/>
        <w:textAlignment w:val="center"/>
        <w:rPr>
          <w:color w:val="000000"/>
          <w:sz w:val="24"/>
          <w:szCs w:val="32"/>
        </w:rPr>
      </w:pPr>
      <w:r>
        <w:rPr>
          <w:color w:val="000000"/>
          <w:sz w:val="24"/>
          <w:szCs w:val="32"/>
        </w:rPr>
        <w:t>（2）</w:t>
      </w:r>
      <w:r>
        <w:rPr>
          <w:rFonts w:ascii="宋体" w:hAnsi="宋体" w:eastAsia="宋体" w:cs="宋体"/>
          <w:color w:val="000000"/>
          <w:sz w:val="24"/>
          <w:szCs w:val="32"/>
        </w:rPr>
        <w:t>经济抗风险能力差；本国产业链不完整，供应链稳定性差；挤压其他产业发展空间；产业吸纳劳动力有限。</w:t>
      </w:r>
      <w:r>
        <w:rPr>
          <w:color w:val="000000"/>
          <w:sz w:val="24"/>
          <w:szCs w:val="32"/>
        </w:rPr>
        <w:t xml:space="preserve">    </w:t>
      </w:r>
    </w:p>
    <w:p>
      <w:pPr>
        <w:numPr>
          <w:ilvl w:val="0"/>
          <w:numId w:val="0"/>
        </w:numPr>
        <w:ind w:leftChars="0"/>
        <w:rPr>
          <w:rFonts w:ascii="宋体" w:hAnsi="宋体" w:eastAsia="宋体" w:cs="宋体"/>
          <w:color w:val="000000"/>
          <w:sz w:val="24"/>
          <w:szCs w:val="32"/>
        </w:rPr>
      </w:pPr>
      <w:r>
        <w:rPr>
          <w:color w:val="000000"/>
          <w:sz w:val="24"/>
          <w:szCs w:val="32"/>
        </w:rPr>
        <w:t>（3）</w:t>
      </w:r>
      <w:r>
        <w:rPr>
          <w:rFonts w:ascii="宋体" w:hAnsi="宋体" w:eastAsia="宋体" w:cs="宋体"/>
          <w:color w:val="000000"/>
          <w:sz w:val="24"/>
          <w:szCs w:val="32"/>
        </w:rPr>
        <w:t>西南部土地资源丰富，价格低；水、电供应充足；优化产业空间布局，促进区域均衡发展。</w:t>
      </w:r>
    </w:p>
    <w:p>
      <w:pPr>
        <w:numPr>
          <w:ilvl w:val="0"/>
          <w:numId w:val="0"/>
        </w:numPr>
        <w:ind w:leftChars="0"/>
        <w:rPr>
          <w:rFonts w:ascii="宋体" w:hAnsi="宋体" w:eastAsia="宋体" w:cs="宋体"/>
          <w:color w:val="000000"/>
          <w:sz w:val="24"/>
          <w:szCs w:val="32"/>
        </w:rPr>
      </w:pPr>
    </w:p>
    <w:p>
      <w:pPr>
        <w:numPr>
          <w:ilvl w:val="0"/>
          <w:numId w:val="0"/>
        </w:numPr>
        <w:ind w:leftChars="0"/>
        <w:rPr>
          <w:rFonts w:ascii="宋体" w:hAnsi="宋体" w:eastAsia="宋体" w:cs="宋体"/>
          <w:color w:val="000000"/>
          <w:sz w:val="24"/>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color w:val="000000"/>
          <w:sz w:val="24"/>
          <w:szCs w:val="32"/>
        </w:rPr>
      </w:pPr>
      <w:r>
        <w:rPr>
          <w:rFonts w:hint="eastAsia" w:ascii="宋体" w:hAnsi="宋体" w:eastAsia="宋体" w:cs="宋体"/>
          <w:color w:val="000000"/>
          <w:sz w:val="24"/>
          <w:szCs w:val="32"/>
          <w:lang w:val="en-US" w:eastAsia="zh-CN"/>
        </w:rPr>
        <w:t>28.</w:t>
      </w:r>
      <w:r>
        <w:rPr>
          <w:rFonts w:ascii="宋体" w:hAnsi="宋体" w:eastAsia="宋体" w:cs="宋体"/>
          <w:color w:val="000000"/>
          <w:sz w:val="24"/>
          <w:szCs w:val="32"/>
        </w:rPr>
        <w:t xml:space="preserve">（1）    ①. 湿润    ②. 径流量大；水质好。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color w:val="000000"/>
          <w:sz w:val="24"/>
          <w:szCs w:val="32"/>
        </w:rPr>
      </w:pPr>
      <w:r>
        <w:rPr>
          <w:rFonts w:ascii="宋体" w:hAnsi="宋体" w:eastAsia="宋体" w:cs="宋体"/>
          <w:color w:val="000000"/>
          <w:sz w:val="24"/>
          <w:szCs w:val="32"/>
        </w:rPr>
        <w:t xml:space="preserve">（2）    ①. 减少    ②. 退耕还林；水库蓄水，淹没耕地；退耕还湿；建设占用。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color w:val="000000"/>
          <w:sz w:val="24"/>
          <w:szCs w:val="32"/>
        </w:rPr>
      </w:pPr>
      <w:r>
        <w:rPr>
          <w:rFonts w:ascii="宋体" w:hAnsi="宋体" w:eastAsia="宋体" w:cs="宋体"/>
          <w:color w:val="000000"/>
          <w:sz w:val="24"/>
          <w:szCs w:val="32"/>
        </w:rPr>
        <w:t xml:space="preserve">（3）径流量减少；径流量季节分配更均匀；径流量最大月份滞后。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color w:val="000000"/>
          <w:sz w:val="24"/>
          <w:szCs w:val="32"/>
        </w:rPr>
      </w:pPr>
      <w:r>
        <w:rPr>
          <w:rFonts w:ascii="宋体" w:hAnsi="宋体" w:eastAsia="宋体" w:cs="宋体"/>
          <w:color w:val="000000"/>
          <w:sz w:val="24"/>
          <w:szCs w:val="32"/>
        </w:rPr>
        <w:t>（4）水库蓄水拦沙，下泄水流输沙量减少；下切侵蚀增强，河床加深；河床粗化（沉积颗粒物变粗）。</w:t>
      </w:r>
    </w:p>
    <w:p>
      <w:pPr>
        <w:numPr>
          <w:ilvl w:val="0"/>
          <w:numId w:val="0"/>
        </w:numPr>
        <w:ind w:leftChars="0"/>
        <w:rPr>
          <w:rFonts w:hint="default" w:ascii="宋体" w:hAnsi="宋体" w:eastAsia="宋体" w:cs="宋体"/>
          <w:color w:val="000000"/>
          <w:sz w:val="24"/>
          <w:szCs w:val="32"/>
          <w:lang w:val="en-US" w:eastAsia="zh-CN"/>
        </w:rPr>
      </w:pPr>
    </w:p>
    <w:p>
      <w:pPr>
        <w:pStyle w:val="10"/>
        <w:spacing w:line="360" w:lineRule="auto"/>
        <w:ind w:firstLine="420" w:firstLineChars="200"/>
        <w:rPr>
          <w:rFonts w:hint="eastAsia" w:ascii="宋体" w:hAnsi="宋体" w:eastAsia="宋体" w:cs="宋体"/>
        </w:rPr>
      </w:pPr>
      <w:bookmarkStart w:id="0" w:name="_GoBack"/>
      <w:bookmarkEnd w:id="0"/>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A4B00"/>
    <w:multiLevelType w:val="singleLevel"/>
    <w:tmpl w:val="60BA4B00"/>
    <w:lvl w:ilvl="0" w:tentative="0">
      <w:start w:val="2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iMDY4ODc0YjIyMzBhZDI3YzhlYzcyYWRlMjEwMGUifQ=="/>
  </w:docVars>
  <w:rsids>
    <w:rsidRoot w:val="00A526C7"/>
    <w:rsid w:val="00171D4C"/>
    <w:rsid w:val="00283D1B"/>
    <w:rsid w:val="003D49D7"/>
    <w:rsid w:val="006D7D7A"/>
    <w:rsid w:val="007540D8"/>
    <w:rsid w:val="00A526C7"/>
    <w:rsid w:val="49961666"/>
    <w:rsid w:val="74656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rPr>
      <w:rFonts w:eastAsia="Times New Roman"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脚 Char"/>
    <w:link w:val="3"/>
    <w:autoRedefine/>
    <w:qFormat/>
    <w:uiPriority w:val="99"/>
    <w:rPr>
      <w:sz w:val="18"/>
      <w:szCs w:val="18"/>
    </w:rPr>
  </w:style>
  <w:style w:type="character" w:customStyle="1" w:styleId="9">
    <w:name w:val="页眉 Char"/>
    <w:link w:val="4"/>
    <w:uiPriority w:val="99"/>
    <w:rPr>
      <w:sz w:val="18"/>
      <w:szCs w:val="18"/>
    </w:rPr>
  </w:style>
  <w:style w:type="paragraph" w:customStyle="1" w:styleId="10">
    <w:name w:val="正文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
    <w:name w:val="批注框文本 Char"/>
    <w:basedOn w:val="7"/>
    <w:link w:val="2"/>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1967</Words>
  <Characters>11216</Characters>
  <Lines>93</Lines>
  <Paragraphs>26</Paragraphs>
  <TotalTime>0</TotalTime>
  <ScaleCrop>false</ScaleCrop>
  <LinksUpToDate>false</LinksUpToDate>
  <CharactersWithSpaces>13157</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2026-05-21T01:10:00Z</dcterms:created>
  <dcterms:modified xsi:type="dcterms:W3CDTF">2026-09-18T07:06:32Z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66000E87AEC74236B2230085C3E9FAC7_13</vt:lpwstr>
  </property>
</Properties>
</file>