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1BC632EC">
      <w:pPr>
        <w:adjustRightInd w:val="0"/>
        <w:spacing w:before="0" w:after="0" w:line="360" w:lineRule="auto"/>
        <w:ind w:left="315" w:firstLine="0"/>
        <w:jc w:val="center"/>
        <w:textAlignment w:val="center"/>
        <w:rPr>
          <w:rFonts w:ascii="Times New Roman" w:eastAsia="黑体" w:hAnsi="Times New Roman" w:cs="Times New Roman" w:hint="default"/>
          <w:kern w:val="0"/>
          <w:szCs w:val="21"/>
          <w:lang w:val="en-US" w:eastAsia="zh-CN"/>
        </w:rPr>
      </w:pPr>
      <w:r>
        <w:rPr>
          <w:rFonts w:ascii="Times New Roman" w:eastAsia="黑体" w:hAnsi="Times New Roman" w:cs="Times New Roman" w:hint="default"/>
          <w:bCs/>
          <w:sz w:val="36"/>
          <w:szCs w:val="36"/>
        </w:rPr>
        <w:drawing>
          <wp:anchor simplePos="0" relativeHeight="251658240" behindDoc="0" locked="0" layoutInCell="1" allowOverlap="1">
            <wp:simplePos x="0" y="0"/>
            <wp:positionH relativeFrom="page">
              <wp:posOffset>10160000</wp:posOffset>
            </wp:positionH>
            <wp:positionV relativeFrom="topMargin">
              <wp:posOffset>11239500</wp:posOffset>
            </wp:positionV>
            <wp:extent cx="342900" cy="393700"/>
            <wp:wrapNone/>
            <wp:docPr id="10005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
                    <pic:cNvPicPr>
                      <a:picLocks noChangeAspect="1"/>
                    </pic:cNvPicPr>
                  </pic:nvPicPr>
                  <pic:blipFill>
                    <a:blip xmlns:r="http://schemas.openxmlformats.org/officeDocument/2006/relationships" r:embed="rId5"/>
                    <a:stretch>
                      <a:fillRect/>
                    </a:stretch>
                  </pic:blipFill>
                  <pic:spPr>
                    <a:xfrm>
                      <a:off x="0" y="0"/>
                      <a:ext cx="342900" cy="393700"/>
                    </a:xfrm>
                    <a:prstGeom prst="rect">
                      <a:avLst/>
                    </a:prstGeom>
                  </pic:spPr>
                </pic:pic>
              </a:graphicData>
            </a:graphic>
          </wp:anchor>
        </w:drawing>
      </w:r>
      <w:r>
        <w:rPr>
          <w:rFonts w:ascii="Times New Roman" w:eastAsia="黑体" w:hAnsi="Times New Roman" w:cs="Times New Roman" w:hint="default"/>
          <w:bCs/>
          <w:sz w:val="36"/>
          <w:szCs w:val="36"/>
        </w:rPr>
        <w:drawing>
          <wp:anchor distT="0" distB="0" distL="114300" distR="114300" simplePos="0" relativeHeight="251659264" behindDoc="0" locked="0" layoutInCell="1" allowOverlap="1">
            <wp:simplePos x="0" y="0"/>
            <wp:positionH relativeFrom="page">
              <wp:posOffset>11925300</wp:posOffset>
            </wp:positionH>
            <wp:positionV relativeFrom="page">
              <wp:posOffset>12649200</wp:posOffset>
            </wp:positionV>
            <wp:extent cx="482600" cy="279400"/>
            <wp:effectExtent l="0" t="0" r="12700" b="6350"/>
            <wp:wrapNone/>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xmlns:r="http://schemas.openxmlformats.org/officeDocument/2006/relationships" r:embed="rId6"/>
                    <a:stretch>
                      <a:fillRect/>
                    </a:stretch>
                  </pic:blipFill>
                  <pic:spPr>
                    <a:xfrm>
                      <a:off x="0" y="0"/>
                      <a:ext cx="482600" cy="279400"/>
                    </a:xfrm>
                    <a:prstGeom prst="rect">
                      <a:avLst/>
                    </a:prstGeom>
                    <a:noFill/>
                    <a:ln>
                      <a:noFill/>
                    </a:ln>
                  </pic:spPr>
                </pic:pic>
              </a:graphicData>
            </a:graphic>
          </wp:anchor>
        </w:drawing>
      </w:r>
      <w:r>
        <w:rPr>
          <w:rFonts w:ascii="Times New Roman" w:eastAsia="黑体" w:hAnsi="Times New Roman" w:cs="Times New Roman" w:hint="default"/>
          <w:bCs/>
          <w:sz w:val="36"/>
          <w:szCs w:val="36"/>
        </w:rPr>
        <w:drawing>
          <wp:anchor distT="0" distB="0" distL="114300" distR="114300" simplePos="0" relativeHeight="251660288" behindDoc="0" locked="0" layoutInCell="1" allowOverlap="1">
            <wp:simplePos x="0" y="0"/>
            <wp:positionH relativeFrom="page">
              <wp:posOffset>10502900</wp:posOffset>
            </wp:positionH>
            <wp:positionV relativeFrom="page">
              <wp:posOffset>11963400</wp:posOffset>
            </wp:positionV>
            <wp:extent cx="368300" cy="266700"/>
            <wp:effectExtent l="0" t="0" r="12700" b="0"/>
            <wp:wrapNone/>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xmlns:r="http://schemas.openxmlformats.org/officeDocument/2006/relationships" r:embed="rId7"/>
                    <a:stretch>
                      <a:fillRect/>
                    </a:stretch>
                  </pic:blipFill>
                  <pic:spPr>
                    <a:xfrm>
                      <a:off x="0" y="0"/>
                      <a:ext cx="368300" cy="266700"/>
                    </a:xfrm>
                    <a:prstGeom prst="rect">
                      <a:avLst/>
                    </a:prstGeom>
                    <a:noFill/>
                    <a:ln>
                      <a:noFill/>
                    </a:ln>
                  </pic:spPr>
                </pic:pic>
              </a:graphicData>
            </a:graphic>
          </wp:anchor>
        </w:drawing>
      </w:r>
      <w:r>
        <w:rPr>
          <w:rFonts w:ascii="Times New Roman" w:hAnsi="Times New Roman" w:cs="Times New Roman" w:hint="default"/>
        </w:rPr>
        <w:drawing>
          <wp:anchor distT="0" distB="0" distL="114300" distR="114300" simplePos="0" relativeHeight="251661312" behindDoc="0" locked="0" layoutInCell="1" allowOverlap="1">
            <wp:simplePos x="0" y="0"/>
            <wp:positionH relativeFrom="page">
              <wp:posOffset>11074400</wp:posOffset>
            </wp:positionH>
            <wp:positionV relativeFrom="page">
              <wp:posOffset>11823700</wp:posOffset>
            </wp:positionV>
            <wp:extent cx="393700" cy="317500"/>
            <wp:effectExtent l="0" t="0" r="6350" b="6350"/>
            <wp:wrapNone/>
            <wp:docPr id="1"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0013"/>
                    <pic:cNvPicPr>
                      <a:picLocks noChangeAspect="1"/>
                    </pic:cNvPicPr>
                  </pic:nvPicPr>
                  <pic:blipFill>
                    <a:blip xmlns:r="http://schemas.openxmlformats.org/officeDocument/2006/relationships" r:embed="rId8"/>
                    <a:stretch>
                      <a:fillRect/>
                    </a:stretch>
                  </pic:blipFill>
                  <pic:spPr>
                    <a:xfrm>
                      <a:off x="0" y="0"/>
                      <a:ext cx="393700" cy="317500"/>
                    </a:xfrm>
                    <a:prstGeom prst="rect">
                      <a:avLst/>
                    </a:prstGeom>
                    <a:noFill/>
                    <a:ln>
                      <a:noFill/>
                    </a:ln>
                  </pic:spPr>
                </pic:pic>
              </a:graphicData>
            </a:graphic>
          </wp:anchor>
        </w:drawing>
      </w:r>
      <w:r>
        <w:rPr>
          <w:rFonts w:ascii="Times New Roman" w:eastAsia="黑体" w:hAnsi="Times New Roman" w:cs="Times New Roman" w:hint="default"/>
          <w:bCs/>
          <w:sz w:val="36"/>
          <w:szCs w:val="36"/>
        </w:rPr>
        <w:t>2026年高考</w:t>
      </w:r>
      <w:r>
        <w:rPr>
          <w:rFonts w:ascii="Times New Roman" w:eastAsia="黑体" w:hAnsi="Times New Roman" w:cs="Times New Roman" w:hint="default"/>
          <w:bCs/>
          <w:sz w:val="36"/>
          <w:szCs w:val="36"/>
          <w:lang w:val="en-US" w:eastAsia="zh-CN"/>
        </w:rPr>
        <w:t>考前最后一卷</w:t>
      </w:r>
      <w:r>
        <w:rPr>
          <w:rFonts w:ascii="Times New Roman" w:eastAsia="黑体" w:hAnsi="Times New Roman" w:cs="Times New Roman" w:hint="default"/>
          <w:bCs/>
          <w:sz w:val="36"/>
          <w:szCs w:val="36"/>
          <w:highlight w:val="none"/>
          <w:lang w:eastAsia="zh-CN"/>
        </w:rPr>
        <w:t>（</w:t>
      </w:r>
      <w:r>
        <w:rPr>
          <w:rFonts w:ascii="Times New Roman" w:eastAsia="黑体" w:hAnsi="Times New Roman" w:cs="Times New Roman" w:hint="eastAsia"/>
          <w:bCs/>
          <w:sz w:val="36"/>
          <w:szCs w:val="36"/>
          <w:highlight w:val="none"/>
          <w:lang w:val="en-US" w:eastAsia="zh-CN"/>
        </w:rPr>
        <w:t>浙江</w:t>
      </w:r>
      <w:r>
        <w:rPr>
          <w:rFonts w:ascii="Times New Roman" w:eastAsia="黑体" w:hAnsi="Times New Roman" w:cs="Times New Roman" w:hint="default"/>
          <w:bCs/>
          <w:sz w:val="36"/>
          <w:szCs w:val="36"/>
          <w:highlight w:val="none"/>
          <w:lang w:val="en-US" w:eastAsia="zh-CN"/>
        </w:rPr>
        <w:t>专用</w:t>
      </w:r>
      <w:r>
        <w:rPr>
          <w:rFonts w:ascii="Times New Roman" w:eastAsia="黑体" w:hAnsi="Times New Roman" w:cs="Times New Roman" w:hint="default"/>
          <w:bCs/>
          <w:sz w:val="36"/>
          <w:szCs w:val="36"/>
          <w:highlight w:val="none"/>
          <w:lang w:eastAsia="zh-CN"/>
        </w:rPr>
        <w:t>）</w:t>
      </w:r>
    </w:p>
    <w:p w14:paraId="4ADEDF43">
      <w:pPr>
        <w:wordWrap w:val="0"/>
        <w:spacing w:before="0" w:after="0" w:line="360" w:lineRule="auto"/>
        <w:ind w:left="315" w:firstLine="0"/>
        <w:jc w:val="center"/>
        <w:textAlignment w:val="center"/>
        <w:rPr>
          <w:rFonts w:ascii="Times New Roman" w:eastAsia="楷体" w:hAnsi="Times New Roman" w:cs="Times New Roman" w:hint="default"/>
          <w:kern w:val="0"/>
        </w:rPr>
      </w:pPr>
      <w:r>
        <w:rPr>
          <w:rFonts w:ascii="Times New Roman" w:eastAsia="黑体" w:hAnsi="Times New Roman" w:cs="Times New Roman" w:hint="default"/>
          <w:bCs/>
          <w:sz w:val="32"/>
          <w:lang w:eastAsia="zh-CN"/>
        </w:rPr>
        <w:t>高三</w:t>
      </w:r>
      <w:r>
        <w:rPr>
          <w:rFonts w:ascii="Times New Roman" w:eastAsia="黑体" w:hAnsi="Times New Roman" w:cs="Times New Roman" w:hint="default"/>
          <w:bCs/>
          <w:sz w:val="32"/>
        </w:rPr>
        <w:t>思想政治</w:t>
      </w:r>
    </w:p>
    <w:p w14:paraId="5B887433">
      <w:pPr>
        <w:adjustRightInd w:val="0"/>
        <w:spacing w:before="0" w:after="0" w:line="360" w:lineRule="auto"/>
        <w:ind w:left="315" w:firstLine="0"/>
        <w:jc w:val="center"/>
        <w:textAlignment w:val="center"/>
        <w:rPr>
          <w:rFonts w:ascii="Times New Roman" w:eastAsia="楷体" w:hAnsi="Times New Roman" w:cs="Times New Roman" w:hint="default"/>
          <w:kern w:val="0"/>
          <w:szCs w:val="21"/>
          <w:highlight w:val="none"/>
          <w:lang w:bidi="ar"/>
        </w:rPr>
      </w:pPr>
      <w:r>
        <w:rPr>
          <w:rFonts w:ascii="Times New Roman" w:eastAsia="楷体" w:hAnsi="Times New Roman" w:cs="Times New Roman" w:hint="default"/>
          <w:kern w:val="0"/>
          <w:szCs w:val="21"/>
          <w:highlight w:val="none"/>
          <w:lang w:bidi="ar"/>
        </w:rPr>
        <w:t>（考试时间：</w:t>
      </w:r>
      <w:r>
        <w:rPr>
          <w:rFonts w:ascii="Times New Roman" w:eastAsia="楷体" w:hAnsi="Times New Roman" w:cs="Times New Roman" w:hint="eastAsia"/>
          <w:kern w:val="0"/>
          <w:szCs w:val="21"/>
          <w:highlight w:val="none"/>
          <w:lang w:val="en-US" w:eastAsia="zh-CN" w:bidi="ar"/>
        </w:rPr>
        <w:t>90</w:t>
      </w:r>
      <w:r>
        <w:rPr>
          <w:rFonts w:ascii="Times New Roman" w:eastAsia="楷体" w:hAnsi="Times New Roman" w:cs="Times New Roman" w:hint="default"/>
          <w:kern w:val="0"/>
          <w:szCs w:val="21"/>
          <w:highlight w:val="none"/>
          <w:lang w:bidi="ar"/>
        </w:rPr>
        <w:t>分钟  试卷满分：</w:t>
      </w:r>
      <w:r>
        <w:rPr>
          <w:rFonts w:ascii="Times New Roman" w:eastAsia="楷体" w:hAnsi="Times New Roman" w:cs="Times New Roman" w:hint="default"/>
          <w:kern w:val="0"/>
          <w:szCs w:val="21"/>
          <w:highlight w:val="none"/>
          <w:lang w:val="en-US" w:eastAsia="zh-CN" w:bidi="ar"/>
        </w:rPr>
        <w:t>100</w:t>
      </w:r>
      <w:r>
        <w:rPr>
          <w:rFonts w:ascii="Times New Roman" w:eastAsia="楷体" w:hAnsi="Times New Roman" w:cs="Times New Roman" w:hint="default"/>
          <w:kern w:val="0"/>
          <w:szCs w:val="21"/>
          <w:highlight w:val="none"/>
          <w:lang w:bidi="ar"/>
        </w:rPr>
        <w:t>分）</w:t>
      </w:r>
    </w:p>
    <w:p w14:paraId="2D666A67">
      <w:pPr>
        <w:adjustRightInd w:val="0"/>
        <w:spacing w:before="0" w:after="0" w:line="360" w:lineRule="auto"/>
        <w:ind w:left="315" w:firstLine="0"/>
        <w:jc w:val="center"/>
        <w:textAlignment w:val="center"/>
        <w:rPr>
          <w:rFonts w:ascii="Times New Roman" w:eastAsia="楷体" w:hAnsi="Times New Roman" w:cs="Times New Roman" w:hint="default"/>
          <w:kern w:val="0"/>
          <w:szCs w:val="21"/>
          <w:lang w:bidi="ar"/>
        </w:rPr>
      </w:pPr>
    </w:p>
    <w:p w14:paraId="0553099E">
      <w:pPr>
        <w:spacing w:before="0" w:after="0" w:line="360" w:lineRule="auto"/>
        <w:ind w:left="315" w:firstLine="0"/>
        <w:rPr>
          <w:rFonts w:ascii="宋体" w:hAnsi="宋体" w:cs="Calibri" w:hint="eastAsia"/>
          <w:b/>
          <w:color w:val="000000"/>
          <w:szCs w:val="21"/>
        </w:rPr>
      </w:pPr>
      <w:r>
        <w:rPr>
          <w:rFonts w:ascii="宋体" w:hAnsi="宋体" w:cs="Calibri" w:hint="eastAsia"/>
          <w:b/>
          <w:color w:val="000000"/>
          <w:szCs w:val="21"/>
        </w:rPr>
        <w:t>考生须知：</w:t>
      </w:r>
    </w:p>
    <w:p w14:paraId="64DF3AC8">
      <w:pPr>
        <w:spacing w:before="0" w:after="0" w:line="360" w:lineRule="auto"/>
        <w:ind w:left="315" w:hanging="315"/>
        <w:rPr>
          <w:rFonts w:ascii="宋体" w:hAnsi="宋体" w:cs="Calibri" w:hint="eastAsia"/>
          <w:color w:val="000000"/>
          <w:szCs w:val="21"/>
        </w:rPr>
      </w:pPr>
      <w:r>
        <w:rPr>
          <w:rFonts w:ascii="宋体" w:hAnsi="宋体" w:cs="Calibri" w:hint="eastAsia"/>
          <w:color w:val="000000"/>
          <w:szCs w:val="21"/>
        </w:rPr>
        <w:t>1．本卷满分100分，考试时间90分钟。</w:t>
      </w:r>
    </w:p>
    <w:p w14:paraId="2C791B4A">
      <w:pPr>
        <w:spacing w:before="0" w:after="0" w:line="360" w:lineRule="auto"/>
        <w:ind w:left="315" w:hanging="315"/>
        <w:rPr>
          <w:rFonts w:ascii="宋体" w:hAnsi="宋体" w:cs="Calibri" w:hint="eastAsia"/>
          <w:color w:val="000000"/>
          <w:szCs w:val="21"/>
        </w:rPr>
      </w:pPr>
      <w:r>
        <w:rPr>
          <w:rFonts w:ascii="宋体" w:hAnsi="宋体" w:cs="Calibri" w:hint="eastAsia"/>
          <w:color w:val="000000"/>
          <w:szCs w:val="21"/>
        </w:rPr>
        <w:t>2．答题前，在答题卷指定区域填写学校、班级、姓名、考场、座位号及准考证号。</w:t>
      </w:r>
    </w:p>
    <w:p w14:paraId="6E603FEF">
      <w:pPr>
        <w:spacing w:before="0" w:after="0" w:line="360" w:lineRule="auto"/>
        <w:ind w:left="315" w:hanging="315"/>
        <w:rPr>
          <w:rFonts w:ascii="宋体" w:hAnsi="宋体" w:cs="Calibri" w:hint="eastAsia"/>
          <w:color w:val="000000"/>
          <w:szCs w:val="21"/>
        </w:rPr>
      </w:pPr>
      <w:r>
        <w:rPr>
          <w:rFonts w:ascii="宋体" w:hAnsi="宋体" w:cs="Calibri" w:hint="eastAsia"/>
          <w:color w:val="000000"/>
          <w:szCs w:val="21"/>
        </w:rPr>
        <w:t>3．所有答案必须写在答题卷上，写在试卷上无效，考试结束后，只需上交答题卷。</w:t>
      </w:r>
    </w:p>
    <w:p w14:paraId="593A87D3">
      <w:pPr>
        <w:spacing w:before="0" w:after="0" w:line="360" w:lineRule="auto"/>
        <w:ind w:left="420" w:hanging="420" w:hangingChars="200"/>
        <w:rPr>
          <w:rFonts w:ascii="宋体" w:hAnsi="宋体" w:cs="Calibri" w:hint="eastAsia"/>
          <w:b/>
          <w:color w:val="000000"/>
          <w:szCs w:val="21"/>
        </w:rPr>
      </w:pPr>
    </w:p>
    <w:p w14:paraId="01EE3250">
      <w:pPr>
        <w:spacing w:before="0" w:after="0" w:line="360" w:lineRule="auto"/>
        <w:ind w:left="420" w:hanging="420" w:hangingChars="200"/>
        <w:rPr>
          <w:rFonts w:ascii="楷体" w:eastAsia="楷体" w:hAnsi="楷体" w:cs="Calibri" w:hint="eastAsia"/>
          <w:szCs w:val="21"/>
        </w:rPr>
      </w:pPr>
      <w:r>
        <w:rPr>
          <w:rFonts w:ascii="黑体" w:eastAsia="黑体" w:hAnsi="黑体" w:cs="Calibri" w:hint="eastAsia"/>
          <w:b/>
          <w:szCs w:val="21"/>
        </w:rPr>
        <w:t>一、选择题I</w:t>
      </w:r>
      <w:r>
        <w:rPr>
          <w:rFonts w:ascii="楷体" w:eastAsia="楷体" w:hAnsi="楷体" w:cs="Calibri" w:hint="eastAsia"/>
          <w:szCs w:val="21"/>
        </w:rPr>
        <w:t>（本大题共16小题，每小题2分，共32分。每小题列出的四个备选项中只有一个是符合题目要求的，不选、多选、错选均不得分）</w:t>
      </w:r>
    </w:p>
    <w:p w14:paraId="591B8383">
      <w:pPr>
        <w:shd w:val="clear" w:color="auto" w:fill="auto"/>
        <w:spacing w:before="0" w:after="0" w:line="360" w:lineRule="auto"/>
        <w:ind w:left="315" w:hanging="315"/>
        <w:jc w:val="left"/>
        <w:textAlignment w:val="center"/>
        <w:rPr>
          <w:rFonts w:ascii="Times New Roman" w:eastAsia="宋体" w:hAnsi="Times New Roman" w:cs="Times New Roman"/>
          <w:sz w:val="21"/>
        </w:rPr>
      </w:pPr>
      <w:r>
        <w:rPr>
          <w:rFonts w:ascii="Times New Roman" w:eastAsia="宋体" w:hAnsi="Times New Roman" w:cs="Times New Roman"/>
          <w:sz w:val="21"/>
        </w:rPr>
        <w:t>1．</w:t>
      </w:r>
      <w:r>
        <w:rPr>
          <w:rFonts w:ascii="Times New Roman" w:eastAsia="宋体" w:hAnsi="Times New Roman" w:cs="Times New Roman" w:hint="default"/>
          <w:color w:val="FF0000"/>
          <w:szCs w:val="21"/>
          <w:highlight w:val="yellow"/>
        </w:rPr>
        <w:t>（改编题）</w:t>
      </w:r>
      <w:r>
        <w:rPr>
          <w:rFonts w:ascii="Times New Roman" w:eastAsia="宋体" w:hAnsi="Times New Roman" w:cs="Times New Roman"/>
          <w:sz w:val="21"/>
        </w:rPr>
        <w:t>16世纪，空想社会主义者托马斯·莫尔在《乌托邦》一书中写道：“任何地方私有制存在，所有的人凭现金价值衡量所有的事物，那么，一个国家就难以有正义和繁荣……我深信，如不彻底废除私有制，产品不可能公平分配，人类不可能获得幸福。”这一论述（</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5E08D144">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①尝试从生产关系角度揭露批判资本主义弊端</w:t>
      </w:r>
    </w:p>
    <w:p w14:paraId="0A38B763">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②主张通过阶级斗争铲除私有制这一社会毒瘤</w:t>
      </w:r>
    </w:p>
    <w:p w14:paraId="3B9A70D3">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③揭示了资本主义社会的内在本质和基本矛盾</w:t>
      </w:r>
    </w:p>
    <w:p w14:paraId="32FFDE9A">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④仅从理性正义原则出发探索变革社会的途径</w:t>
      </w:r>
    </w:p>
    <w:p w14:paraId="77B8C7C4">
      <w:pPr>
        <w:shd w:val="clear" w:color="auto" w:fill="auto"/>
        <w:tabs>
          <w:tab w:val="left" w:pos="2078"/>
          <w:tab w:val="left" w:pos="4156"/>
          <w:tab w:val="left" w:pos="6234"/>
        </w:tabs>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A．①③</w:t>
      </w:r>
      <w:r>
        <w:rPr>
          <w:rFonts w:ascii="Times New Roman" w:eastAsia="宋体" w:hAnsi="Times New Roman" w:cs="Times New Roman"/>
          <w:sz w:val="21"/>
        </w:rPr>
        <w:tab/>
      </w:r>
      <w:r>
        <w:rPr>
          <w:rFonts w:ascii="Times New Roman" w:eastAsia="宋体" w:hAnsi="Times New Roman" w:cs="Times New Roman"/>
          <w:sz w:val="21"/>
        </w:rPr>
        <w:t>B．①④</w:t>
      </w:r>
      <w:r>
        <w:rPr>
          <w:rFonts w:ascii="Times New Roman" w:eastAsia="宋体" w:hAnsi="Times New Roman" w:cs="Times New Roman"/>
          <w:sz w:val="21"/>
        </w:rPr>
        <w:tab/>
      </w:r>
      <w:r>
        <w:rPr>
          <w:rFonts w:ascii="Times New Roman" w:eastAsia="宋体" w:hAnsi="Times New Roman" w:cs="Times New Roman"/>
          <w:sz w:val="21"/>
        </w:rPr>
        <w:t>C．②③</w:t>
      </w:r>
      <w:r>
        <w:rPr>
          <w:rFonts w:ascii="Times New Roman" w:eastAsia="宋体" w:hAnsi="Times New Roman" w:cs="Times New Roman"/>
          <w:sz w:val="21"/>
        </w:rPr>
        <w:tab/>
      </w:r>
      <w:r>
        <w:rPr>
          <w:rFonts w:ascii="Times New Roman" w:eastAsia="宋体" w:hAnsi="Times New Roman" w:cs="Times New Roman"/>
          <w:sz w:val="21"/>
        </w:rPr>
        <w:t>D．②④</w:t>
      </w:r>
    </w:p>
    <w:p w14:paraId="5A8AE70E">
      <w:pPr>
        <w:shd w:val="clear" w:color="auto" w:fill="auto"/>
        <w:spacing w:before="0" w:after="0" w:line="360" w:lineRule="auto"/>
        <w:ind w:left="315" w:hanging="315"/>
        <w:jc w:val="left"/>
        <w:textAlignment w:val="center"/>
        <w:rPr>
          <w:rFonts w:ascii="Times New Roman" w:eastAsia="宋体" w:hAnsi="Times New Roman" w:cs="Times New Roman"/>
          <w:sz w:val="21"/>
        </w:rPr>
      </w:pPr>
      <w:r>
        <w:rPr>
          <w:rFonts w:ascii="Times New Roman" w:eastAsia="宋体" w:hAnsi="Times New Roman" w:cs="Times New Roman"/>
          <w:sz w:val="21"/>
        </w:rPr>
        <w:t xml:space="preserve">2．科学社会主义在二十一世纪的中国焕发出强大的生机活力充分证明，历史没有终结，“历史终结论”终结了；马克思主义没有过时，“马克思主义过时论”过时了；社会主义没有失败，“社会主义失败论”失败了。这表明科学社会主义（ </w:t>
      </w:r>
      <w:r>
        <w:rPr>
          <w:rFonts w:ascii="Calibri" w:eastAsia="Calibri" w:hAnsi="Calibri" w:cs="Calibri"/>
          <w:sz w:val="21"/>
        </w:rPr>
        <w:t xml:space="preserve">  </w:t>
      </w:r>
      <w:r>
        <w:rPr>
          <w:rFonts w:ascii="Times New Roman" w:eastAsia="宋体" w:hAnsi="Times New Roman" w:cs="Times New Roman"/>
          <w:sz w:val="21"/>
        </w:rPr>
        <w:t>）</w:t>
      </w:r>
    </w:p>
    <w:p w14:paraId="53EA4565">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①能够转化为物质力量，彰显出巨大的实践伟力</w:t>
      </w:r>
    </w:p>
    <w:p w14:paraId="748E7562">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②具有强大的生命力，是中国社会发展的根本遵循</w:t>
      </w:r>
    </w:p>
    <w:p w14:paraId="1CCED71A">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③是科学的理论，得到国际社会的普遍认同</w:t>
      </w:r>
    </w:p>
    <w:p w14:paraId="47583B50">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④是发展的开放的理论，始终站在时代前沿</w:t>
      </w:r>
    </w:p>
    <w:p w14:paraId="741D1840">
      <w:pPr>
        <w:shd w:val="clear" w:color="auto" w:fill="auto"/>
        <w:tabs>
          <w:tab w:val="left" w:pos="2078"/>
          <w:tab w:val="left" w:pos="4156"/>
          <w:tab w:val="left" w:pos="6234"/>
        </w:tabs>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A．①③</w:t>
      </w:r>
      <w:r>
        <w:rPr>
          <w:rFonts w:ascii="Times New Roman" w:eastAsia="宋体" w:hAnsi="Times New Roman" w:cs="Times New Roman"/>
          <w:sz w:val="21"/>
        </w:rPr>
        <w:tab/>
      </w:r>
      <w:r>
        <w:rPr>
          <w:rFonts w:ascii="Times New Roman" w:eastAsia="宋体" w:hAnsi="Times New Roman" w:cs="Times New Roman"/>
          <w:sz w:val="21"/>
        </w:rPr>
        <w:t>B．①④</w:t>
      </w:r>
      <w:r>
        <w:rPr>
          <w:rFonts w:ascii="Times New Roman" w:eastAsia="宋体" w:hAnsi="Times New Roman" w:cs="Times New Roman"/>
          <w:sz w:val="21"/>
        </w:rPr>
        <w:tab/>
      </w:r>
      <w:r>
        <w:rPr>
          <w:rFonts w:ascii="Times New Roman" w:eastAsia="宋体" w:hAnsi="Times New Roman" w:cs="Times New Roman"/>
          <w:sz w:val="21"/>
        </w:rPr>
        <w:t>C．②③</w:t>
      </w:r>
      <w:r>
        <w:rPr>
          <w:rFonts w:ascii="Times New Roman" w:eastAsia="宋体" w:hAnsi="Times New Roman" w:cs="Times New Roman"/>
          <w:sz w:val="21"/>
        </w:rPr>
        <w:tab/>
      </w:r>
      <w:r>
        <w:rPr>
          <w:rFonts w:ascii="Times New Roman" w:eastAsia="宋体" w:hAnsi="Times New Roman" w:cs="Times New Roman"/>
          <w:sz w:val="21"/>
        </w:rPr>
        <w:t>D．②④</w:t>
      </w:r>
    </w:p>
    <w:p w14:paraId="40CD6262">
      <w:pPr>
        <w:shd w:val="clear" w:color="auto" w:fill="auto"/>
        <w:spacing w:before="0" w:after="0" w:line="360" w:lineRule="auto"/>
        <w:ind w:left="315" w:hanging="315"/>
        <w:jc w:val="left"/>
        <w:textAlignment w:val="center"/>
        <w:rPr>
          <w:rFonts w:ascii="Times New Roman" w:eastAsia="宋体" w:hAnsi="Times New Roman" w:cs="Times New Roman"/>
          <w:sz w:val="21"/>
        </w:rPr>
      </w:pPr>
      <w:r>
        <w:rPr>
          <w:rFonts w:ascii="Times New Roman" w:eastAsia="宋体" w:hAnsi="Times New Roman" w:cs="Times New Roman"/>
          <w:sz w:val="21"/>
        </w:rPr>
        <w:t>3．新中国成立特别是改革开放以来，我国用几十年时间走完西方发达国家几百年走过的工业化历程。从“中国制造”到“中国创造”，从“发展速度”到“发展质量”，从“物质积累”到“人的全面发展”</w:t>
      </w:r>
      <w:r>
        <w:rPr>
          <w:rFonts w:ascii="楷体" w:eastAsia="楷体" w:hAnsi="楷体" w:cs="楷体"/>
          <w:sz w:val="21"/>
        </w:rPr>
        <w:t>……</w:t>
      </w:r>
      <w:r>
        <w:rPr>
          <w:rFonts w:ascii="Times New Roman" w:eastAsia="宋体" w:hAnsi="Times New Roman" w:cs="Times New Roman"/>
          <w:sz w:val="21"/>
        </w:rPr>
        <w:t>中国经济的高歌猛进与社会大局的长治久安齐头并进，取得了举世瞩目的“两大奇迹”。“两大奇迹”（</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75DE96E4">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①为开创中国特色社会主义提供了物质基础</w:t>
      </w:r>
    </w:p>
    <w:p w14:paraId="6345D2AA">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②证明了中国特色社会主义道路的正确性</w:t>
      </w:r>
    </w:p>
    <w:p w14:paraId="329B867F">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③是改革开放以来党的全部理论和实践的主题</w:t>
      </w:r>
    </w:p>
    <w:p w14:paraId="0B201B6E">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④为我们积淀了继续前行最为坚实的底气与信心</w:t>
      </w:r>
    </w:p>
    <w:p w14:paraId="4F682EA5">
      <w:pPr>
        <w:shd w:val="clear" w:color="auto" w:fill="auto"/>
        <w:tabs>
          <w:tab w:val="left" w:pos="2078"/>
          <w:tab w:val="left" w:pos="4156"/>
          <w:tab w:val="left" w:pos="6234"/>
        </w:tabs>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A．①②</w:t>
      </w:r>
      <w:r>
        <w:rPr>
          <w:rFonts w:ascii="Times New Roman" w:eastAsia="宋体" w:hAnsi="Times New Roman" w:cs="Times New Roman"/>
          <w:sz w:val="21"/>
        </w:rPr>
        <w:tab/>
      </w:r>
      <w:r>
        <w:rPr>
          <w:rFonts w:ascii="Times New Roman" w:eastAsia="宋体" w:hAnsi="Times New Roman" w:cs="Times New Roman"/>
          <w:sz w:val="21"/>
        </w:rPr>
        <w:t>B．①③</w:t>
      </w:r>
      <w:r>
        <w:rPr>
          <w:rFonts w:ascii="Times New Roman" w:eastAsia="宋体" w:hAnsi="Times New Roman" w:cs="Times New Roman"/>
          <w:sz w:val="21"/>
        </w:rPr>
        <w:tab/>
      </w:r>
      <w:r>
        <w:rPr>
          <w:rFonts w:ascii="Times New Roman" w:eastAsia="宋体" w:hAnsi="Times New Roman" w:cs="Times New Roman"/>
          <w:sz w:val="21"/>
        </w:rPr>
        <w:t>C．②④</w:t>
      </w:r>
      <w:r>
        <w:rPr>
          <w:rFonts w:ascii="Times New Roman" w:eastAsia="宋体" w:hAnsi="Times New Roman" w:cs="Times New Roman"/>
          <w:sz w:val="21"/>
        </w:rPr>
        <w:tab/>
      </w:r>
      <w:r>
        <w:rPr>
          <w:rFonts w:ascii="Times New Roman" w:eastAsia="宋体" w:hAnsi="Times New Roman" w:cs="Times New Roman"/>
          <w:sz w:val="21"/>
        </w:rPr>
        <w:t>D．③④</w:t>
      </w:r>
    </w:p>
    <w:p w14:paraId="4D051A14">
      <w:pPr>
        <w:shd w:val="clear" w:color="auto" w:fill="auto"/>
        <w:spacing w:before="0" w:after="0" w:line="360" w:lineRule="auto"/>
        <w:ind w:left="315" w:hanging="315"/>
        <w:jc w:val="left"/>
        <w:textAlignment w:val="center"/>
        <w:rPr>
          <w:rFonts w:ascii="Times New Roman" w:eastAsia="宋体" w:hAnsi="Times New Roman" w:cs="Times New Roman"/>
          <w:sz w:val="21"/>
        </w:rPr>
      </w:pPr>
      <w:r>
        <w:rPr>
          <w:rFonts w:ascii="Times New Roman" w:eastAsia="宋体" w:hAnsi="Times New Roman" w:cs="Times New Roman"/>
          <w:sz w:val="21"/>
        </w:rPr>
        <w:t>4．新中国成立初期，毛泽东等人提出建设“四个现代化”的设想；改革开放时期，邓小平强调要“走一条中国式的现代化道路”；进入新时代，习近平系统阐明了中国式现代化的特征。这表明（</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73A93F65">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①党对现代化建设规律的认识持续深化</w:t>
      </w:r>
    </w:p>
    <w:p w14:paraId="4A330154">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②中国式现代化符合社会主义的本质要求</w:t>
      </w:r>
    </w:p>
    <w:p w14:paraId="17385407">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③中国不断探索适合自己特点的现代化道路</w:t>
      </w:r>
    </w:p>
    <w:p w14:paraId="061D96DC">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④实现现代化是各国发展普遍面临的历史任务</w:t>
      </w:r>
    </w:p>
    <w:p w14:paraId="5CD197F6">
      <w:pPr>
        <w:shd w:val="clear" w:color="auto" w:fill="auto"/>
        <w:tabs>
          <w:tab w:val="left" w:pos="2078"/>
          <w:tab w:val="left" w:pos="4156"/>
          <w:tab w:val="left" w:pos="6234"/>
        </w:tabs>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A．①③</w:t>
      </w:r>
      <w:r>
        <w:rPr>
          <w:rFonts w:ascii="Times New Roman" w:eastAsia="宋体" w:hAnsi="Times New Roman" w:cs="Times New Roman"/>
          <w:sz w:val="21"/>
        </w:rPr>
        <w:tab/>
      </w:r>
      <w:r>
        <w:rPr>
          <w:rFonts w:ascii="Times New Roman" w:eastAsia="宋体" w:hAnsi="Times New Roman" w:cs="Times New Roman"/>
          <w:sz w:val="21"/>
        </w:rPr>
        <w:t>B．①④</w:t>
      </w:r>
      <w:r>
        <w:rPr>
          <w:rFonts w:ascii="Times New Roman" w:eastAsia="宋体" w:hAnsi="Times New Roman" w:cs="Times New Roman"/>
          <w:sz w:val="21"/>
        </w:rPr>
        <w:tab/>
      </w:r>
      <w:r>
        <w:rPr>
          <w:rFonts w:ascii="Times New Roman" w:eastAsia="宋体" w:hAnsi="Times New Roman" w:cs="Times New Roman"/>
          <w:sz w:val="21"/>
        </w:rPr>
        <w:t>C．②③</w:t>
      </w:r>
      <w:r>
        <w:rPr>
          <w:rFonts w:ascii="Times New Roman" w:eastAsia="宋体" w:hAnsi="Times New Roman" w:cs="Times New Roman"/>
          <w:sz w:val="21"/>
        </w:rPr>
        <w:tab/>
      </w:r>
      <w:r>
        <w:rPr>
          <w:rFonts w:ascii="Times New Roman" w:eastAsia="宋体" w:hAnsi="Times New Roman" w:cs="Times New Roman"/>
          <w:sz w:val="21"/>
        </w:rPr>
        <w:t>D．②④</w:t>
      </w:r>
    </w:p>
    <w:p w14:paraId="6EE9B0DF">
      <w:pPr>
        <w:shd w:val="clear" w:color="auto" w:fill="auto"/>
        <w:spacing w:before="0" w:after="0" w:line="360" w:lineRule="auto"/>
        <w:ind w:left="315" w:hanging="315"/>
        <w:jc w:val="left"/>
        <w:textAlignment w:val="center"/>
        <w:rPr>
          <w:rFonts w:ascii="Times New Roman" w:eastAsia="宋体" w:hAnsi="Times New Roman" w:cs="Times New Roman"/>
          <w:sz w:val="21"/>
        </w:rPr>
      </w:pPr>
      <w:r>
        <w:rPr>
          <w:rFonts w:ascii="Times New Roman" w:eastAsia="宋体" w:hAnsi="Times New Roman" w:cs="Times New Roman"/>
          <w:sz w:val="21"/>
        </w:rPr>
        <w:t>5．</w:t>
      </w:r>
      <w:r>
        <w:rPr>
          <w:rFonts w:ascii="Times New Roman" w:eastAsia="宋体" w:hAnsi="Times New Roman" w:cs="Times New Roman" w:hint="default"/>
          <w:color w:val="FF0000"/>
          <w:szCs w:val="21"/>
          <w:highlight w:val="yellow"/>
        </w:rPr>
        <w:t>（</w:t>
      </w:r>
      <w:r>
        <w:rPr>
          <w:rFonts w:ascii="Times New Roman" w:eastAsia="宋体" w:hAnsi="Times New Roman" w:cs="Times New Roman" w:hint="default"/>
          <w:color w:val="FF0000"/>
          <w:szCs w:val="21"/>
          <w:highlight w:val="yellow"/>
          <w:lang w:val="en-US" w:eastAsia="zh-CN"/>
        </w:rPr>
        <w:t>新情境</w:t>
      </w:r>
      <w:r>
        <w:rPr>
          <w:rFonts w:ascii="Times New Roman" w:eastAsia="宋体" w:hAnsi="Times New Roman" w:cs="Times New Roman" w:hint="default"/>
          <w:color w:val="FF0000"/>
          <w:szCs w:val="21"/>
          <w:highlight w:val="yellow"/>
        </w:rPr>
        <w:t>）</w:t>
      </w:r>
      <w:r>
        <w:rPr>
          <w:rFonts w:ascii="Times New Roman" w:eastAsia="宋体" w:hAnsi="Times New Roman" w:cs="Times New Roman"/>
          <w:sz w:val="21"/>
        </w:rPr>
        <w:t>1月7日至26日，陆军组织“时代楷模”、第82集团军某旅“刘老庄连”先进事迹报告团赴多地党政机关和陆军部队作巡回报告，多例感人故事传遍大江南北，激励感召社会各界和广大官兵为推进强国建设、民族复兴伟业贡献力量。这一活动有利于（</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0A0C8A59">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①立足新时代历史方位，全景展示治国成就和经验</w:t>
      </w:r>
    </w:p>
    <w:p w14:paraId="70E67D1D">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②彰显中国梦本质要求，凝聚民族复兴的强大合力</w:t>
      </w:r>
    </w:p>
    <w:p w14:paraId="075AE458">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③把握社会主要矛盾，完成党的建设新的伟大工程</w:t>
      </w:r>
    </w:p>
    <w:p w14:paraId="67724CE5">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④践行党的初心使命，传承红色基因勇担时代重任</w:t>
      </w:r>
    </w:p>
    <w:p w14:paraId="06615EEC">
      <w:pPr>
        <w:shd w:val="clear" w:color="auto" w:fill="auto"/>
        <w:tabs>
          <w:tab w:val="left" w:pos="2078"/>
          <w:tab w:val="left" w:pos="4156"/>
          <w:tab w:val="left" w:pos="6234"/>
        </w:tabs>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A．①③</w:t>
      </w:r>
      <w:r>
        <w:rPr>
          <w:rFonts w:ascii="Times New Roman" w:eastAsia="宋体" w:hAnsi="Times New Roman" w:cs="Times New Roman"/>
          <w:sz w:val="21"/>
        </w:rPr>
        <w:tab/>
      </w:r>
      <w:r>
        <w:rPr>
          <w:rFonts w:ascii="Times New Roman" w:eastAsia="宋体" w:hAnsi="Times New Roman" w:cs="Times New Roman"/>
          <w:sz w:val="21"/>
        </w:rPr>
        <w:t>B．①④</w:t>
      </w:r>
      <w:r>
        <w:rPr>
          <w:rFonts w:ascii="Times New Roman" w:eastAsia="宋体" w:hAnsi="Times New Roman" w:cs="Times New Roman"/>
          <w:sz w:val="21"/>
        </w:rPr>
        <w:tab/>
      </w:r>
      <w:r>
        <w:rPr>
          <w:rFonts w:ascii="Times New Roman" w:eastAsia="宋体" w:hAnsi="Times New Roman" w:cs="Times New Roman"/>
          <w:sz w:val="21"/>
        </w:rPr>
        <w:t>C．②③</w:t>
      </w:r>
      <w:r>
        <w:rPr>
          <w:rFonts w:ascii="Times New Roman" w:eastAsia="宋体" w:hAnsi="Times New Roman" w:cs="Times New Roman"/>
          <w:sz w:val="21"/>
        </w:rPr>
        <w:tab/>
      </w:r>
      <w:r>
        <w:rPr>
          <w:rFonts w:ascii="Times New Roman" w:eastAsia="宋体" w:hAnsi="Times New Roman" w:cs="Times New Roman"/>
          <w:sz w:val="21"/>
        </w:rPr>
        <w:t>D．②④</w:t>
      </w:r>
    </w:p>
    <w:p w14:paraId="3C89BBB4">
      <w:pPr>
        <w:shd w:val="clear" w:color="auto" w:fill="auto"/>
        <w:spacing w:before="0" w:after="0" w:line="360" w:lineRule="auto"/>
        <w:ind w:left="315" w:hanging="315"/>
        <w:jc w:val="left"/>
        <w:textAlignment w:val="center"/>
        <w:rPr>
          <w:rFonts w:ascii="Times New Roman" w:eastAsia="宋体" w:hAnsi="Times New Roman" w:cs="Times New Roman"/>
          <w:sz w:val="21"/>
        </w:rPr>
      </w:pPr>
      <w:r>
        <w:rPr>
          <w:rFonts w:ascii="Times New Roman" w:eastAsia="宋体" w:hAnsi="Times New Roman" w:cs="Times New Roman"/>
          <w:sz w:val="21"/>
        </w:rPr>
        <w:t>6．</w:t>
      </w:r>
      <w:r>
        <w:rPr>
          <w:rFonts w:ascii="Times New Roman" w:eastAsia="宋体" w:hAnsi="Times New Roman" w:cs="Times New Roman" w:hint="default"/>
          <w:color w:val="FF0000"/>
          <w:szCs w:val="21"/>
          <w:highlight w:val="yellow"/>
        </w:rPr>
        <w:t>（</w:t>
      </w:r>
      <w:r>
        <w:rPr>
          <w:rFonts w:ascii="Times New Roman" w:eastAsia="宋体" w:hAnsi="Times New Roman" w:cs="Times New Roman" w:hint="default"/>
          <w:color w:val="FF0000"/>
          <w:szCs w:val="21"/>
          <w:highlight w:val="yellow"/>
          <w:lang w:val="en-US" w:eastAsia="zh-CN"/>
        </w:rPr>
        <w:t>新情境</w:t>
      </w:r>
      <w:r>
        <w:rPr>
          <w:rFonts w:ascii="Times New Roman" w:eastAsia="宋体" w:hAnsi="Times New Roman" w:cs="Times New Roman" w:hint="default"/>
          <w:color w:val="FF0000"/>
          <w:szCs w:val="21"/>
          <w:highlight w:val="yellow"/>
        </w:rPr>
        <w:t>）</w:t>
      </w:r>
      <w:r>
        <w:rPr>
          <w:rFonts w:ascii="Times New Roman" w:eastAsia="宋体" w:hAnsi="Times New Roman" w:cs="Times New Roman"/>
          <w:sz w:val="21"/>
        </w:rPr>
        <w:t>“手搓经济”是个人或小团队不依赖传统生产线、大团队与庞大资金投入，借助AI等数字工具，将个性化创意快速转化为产品或服务并获得市场回报的新型经济形态，是“一人公司”“超级个体”创业模式的重要体现，属于分布式、低成本、高敏捷的微型创新试验。“手搓经济”（</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711FFDC0">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①有利于推动大众创业、万众创新，培育经济发展新动能</w:t>
      </w:r>
    </w:p>
    <w:p w14:paraId="26F73990">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②能够拓宽就业渠道，巩固社会主义经济制度的基础</w:t>
      </w:r>
    </w:p>
    <w:p w14:paraId="0672FC3E">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③利用数字技术赋能，改善了市场环境，提升了消费质量</w:t>
      </w:r>
    </w:p>
    <w:p w14:paraId="2E14611B">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④顺应社会分工细化趋势，是市场决定性作用的充分体现</w:t>
      </w:r>
    </w:p>
    <w:p w14:paraId="293948BC">
      <w:pPr>
        <w:shd w:val="clear" w:color="auto" w:fill="auto"/>
        <w:tabs>
          <w:tab w:val="left" w:pos="2078"/>
          <w:tab w:val="left" w:pos="4156"/>
          <w:tab w:val="left" w:pos="6234"/>
        </w:tabs>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A．①③</w:t>
      </w:r>
      <w:r>
        <w:rPr>
          <w:rFonts w:ascii="Times New Roman" w:eastAsia="宋体" w:hAnsi="Times New Roman" w:cs="Times New Roman"/>
          <w:sz w:val="21"/>
        </w:rPr>
        <w:tab/>
      </w:r>
      <w:r>
        <w:rPr>
          <w:rFonts w:ascii="Times New Roman" w:eastAsia="宋体" w:hAnsi="Times New Roman" w:cs="Times New Roman"/>
          <w:sz w:val="21"/>
        </w:rPr>
        <w:t>B．①④</w:t>
      </w:r>
      <w:r>
        <w:rPr>
          <w:rFonts w:ascii="Times New Roman" w:eastAsia="宋体" w:hAnsi="Times New Roman" w:cs="Times New Roman"/>
          <w:sz w:val="21"/>
        </w:rPr>
        <w:tab/>
      </w:r>
      <w:r>
        <w:rPr>
          <w:rFonts w:ascii="Times New Roman" w:eastAsia="宋体" w:hAnsi="Times New Roman" w:cs="Times New Roman"/>
          <w:sz w:val="21"/>
        </w:rPr>
        <w:t>C．②③</w:t>
      </w:r>
      <w:r>
        <w:rPr>
          <w:rFonts w:ascii="Times New Roman" w:eastAsia="宋体" w:hAnsi="Times New Roman" w:cs="Times New Roman"/>
          <w:sz w:val="21"/>
        </w:rPr>
        <w:tab/>
      </w:r>
      <w:r>
        <w:rPr>
          <w:rFonts w:ascii="Times New Roman" w:eastAsia="宋体" w:hAnsi="Times New Roman" w:cs="Times New Roman"/>
          <w:sz w:val="21"/>
        </w:rPr>
        <w:t>D．②④</w:t>
      </w:r>
    </w:p>
    <w:p w14:paraId="752090D4">
      <w:pPr>
        <w:shd w:val="clear" w:color="auto" w:fill="auto"/>
        <w:spacing w:before="0" w:after="0" w:line="360" w:lineRule="auto"/>
        <w:ind w:left="315" w:hanging="315"/>
        <w:jc w:val="left"/>
        <w:textAlignment w:val="center"/>
        <w:rPr>
          <w:rFonts w:ascii="Times New Roman" w:eastAsia="宋体" w:hAnsi="Times New Roman" w:cs="Times New Roman"/>
          <w:sz w:val="21"/>
        </w:rPr>
      </w:pPr>
      <w:r>
        <w:rPr>
          <w:rFonts w:ascii="Times New Roman" w:eastAsia="宋体" w:hAnsi="Times New Roman" w:cs="Times New Roman"/>
          <w:sz w:val="21"/>
        </w:rPr>
        <w:t>7．国家税务总局等九部门启动2026年“春雨润苗”专项行动，推出4大方面15项50条服务举措助企纾困。据统计，2026年1—2月，我国社会物流总额58．6万亿元，同比增长6．7%，增速较上年全年、上年同期分别提高1．6和1．4个百分点。这表明（</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48D1C6A8">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①我国经济运行总体平稳、韧性增强</w:t>
      </w:r>
    </w:p>
    <w:p w14:paraId="17A8DEBE">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②政府通过宏观调控激发市场主体活力</w:t>
      </w:r>
    </w:p>
    <w:p w14:paraId="27329F1D">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③物流产业已成为国民经济的支柱产业</w:t>
      </w:r>
    </w:p>
    <w:p w14:paraId="0E36BC47">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④消费对经济发展的基础性作用持续增强</w:t>
      </w:r>
    </w:p>
    <w:p w14:paraId="2F186774">
      <w:pPr>
        <w:shd w:val="clear" w:color="auto" w:fill="auto"/>
        <w:tabs>
          <w:tab w:val="left" w:pos="2078"/>
          <w:tab w:val="left" w:pos="4156"/>
          <w:tab w:val="left" w:pos="6234"/>
        </w:tabs>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A．①②</w:t>
      </w:r>
      <w:r>
        <w:rPr>
          <w:rFonts w:ascii="Times New Roman" w:eastAsia="宋体" w:hAnsi="Times New Roman" w:cs="Times New Roman"/>
          <w:sz w:val="21"/>
        </w:rPr>
        <w:tab/>
      </w:r>
      <w:r>
        <w:rPr>
          <w:rFonts w:ascii="Times New Roman" w:eastAsia="宋体" w:hAnsi="Times New Roman" w:cs="Times New Roman"/>
          <w:sz w:val="21"/>
        </w:rPr>
        <w:t>B．①③</w:t>
      </w:r>
      <w:r>
        <w:rPr>
          <w:rFonts w:ascii="Times New Roman" w:eastAsia="宋体" w:hAnsi="Times New Roman" w:cs="Times New Roman"/>
          <w:sz w:val="21"/>
        </w:rPr>
        <w:tab/>
      </w:r>
      <w:r>
        <w:rPr>
          <w:rFonts w:ascii="Times New Roman" w:eastAsia="宋体" w:hAnsi="Times New Roman" w:cs="Times New Roman"/>
          <w:sz w:val="21"/>
        </w:rPr>
        <w:t>C．②④</w:t>
      </w:r>
      <w:r>
        <w:rPr>
          <w:rFonts w:ascii="Times New Roman" w:eastAsia="宋体" w:hAnsi="Times New Roman" w:cs="Times New Roman"/>
          <w:sz w:val="21"/>
        </w:rPr>
        <w:tab/>
      </w:r>
      <w:r>
        <w:rPr>
          <w:rFonts w:ascii="Times New Roman" w:eastAsia="宋体" w:hAnsi="Times New Roman" w:cs="Times New Roman"/>
          <w:sz w:val="21"/>
        </w:rPr>
        <w:t>D．③④</w:t>
      </w:r>
    </w:p>
    <w:p w14:paraId="7E2BC568">
      <w:pPr>
        <w:shd w:val="clear" w:color="auto" w:fill="auto"/>
        <w:spacing w:before="0" w:after="0" w:line="360" w:lineRule="auto"/>
        <w:ind w:left="315" w:hanging="315"/>
        <w:jc w:val="left"/>
        <w:textAlignment w:val="center"/>
        <w:rPr>
          <w:rFonts w:ascii="Times New Roman" w:eastAsia="宋体" w:hAnsi="Times New Roman" w:cs="Times New Roman"/>
          <w:sz w:val="21"/>
        </w:rPr>
      </w:pPr>
      <w:r>
        <w:rPr>
          <w:rFonts w:ascii="Times New Roman" w:eastAsia="宋体" w:hAnsi="Times New Roman" w:cs="Times New Roman"/>
          <w:sz w:val="21"/>
        </w:rPr>
        <w:t>8．</w:t>
      </w:r>
      <w:r>
        <w:rPr>
          <w:rFonts w:ascii="Times New Roman" w:eastAsia="宋体" w:hAnsi="Times New Roman" w:cs="Times New Roman" w:hint="default"/>
          <w:color w:val="FF0000"/>
          <w:szCs w:val="21"/>
          <w:highlight w:val="yellow"/>
        </w:rPr>
        <w:t>（</w:t>
      </w:r>
      <w:r>
        <w:rPr>
          <w:rFonts w:ascii="Times New Roman" w:eastAsia="宋体" w:hAnsi="Times New Roman" w:cs="Times New Roman" w:hint="eastAsia"/>
          <w:color w:val="FF0000"/>
          <w:szCs w:val="21"/>
          <w:highlight w:val="yellow"/>
          <w:lang w:val="en-US" w:eastAsia="zh-CN"/>
        </w:rPr>
        <w:t>创新题</w:t>
      </w:r>
      <w:r>
        <w:rPr>
          <w:rFonts w:ascii="Times New Roman" w:eastAsia="宋体" w:hAnsi="Times New Roman" w:cs="Times New Roman" w:hint="default"/>
          <w:color w:val="FF0000"/>
          <w:szCs w:val="21"/>
          <w:highlight w:val="yellow"/>
        </w:rPr>
        <w:t>）</w:t>
      </w:r>
      <w:r>
        <w:rPr>
          <w:rFonts w:ascii="Times New Roman" w:eastAsia="宋体" w:hAnsi="Times New Roman" w:cs="Times New Roman"/>
          <w:sz w:val="21"/>
        </w:rPr>
        <w:t>2025年中国GDP突破140万亿元，顺利完成全年预期目标，是中国经济在复杂环境中稳健前行的生动注脚，也是“十四五”规划圆满收官的有力见证。下图为2021-2025年我国消费、投资、净出口对经济增长贡献率的变化情况。据此可推断我国经济（</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30708859">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Times New Roman" w:hAnsi="Times New Roman" w:cs="Times New Roman"/>
          <w:strike w:val="0"/>
          <w:kern w:val="0"/>
          <w:sz w:val="24"/>
          <w:szCs w:val="24"/>
          <w:u w:val="none"/>
        </w:rPr>
        <w:drawing>
          <wp:inline distT="0" distB="0" distL="114300" distR="114300">
            <wp:extent cx="4210050" cy="2076450"/>
            <wp:effectExtent l="0" t="0" r="0" b="0"/>
            <wp:docPr id="25" name="图片 2" descr="@@@002676f7-979f-4981-8ab1-106846b8a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descr="@@@002676f7-979f-4981-8ab1-106846b8a995"/>
                    <pic:cNvPicPr>
                      <a:picLocks noChangeAspect="1"/>
                    </pic:cNvPicPr>
                  </pic:nvPicPr>
                  <pic:blipFill>
                    <a:blip xmlns:r="http://schemas.openxmlformats.org/officeDocument/2006/relationships" r:embed="rId9"/>
                    <a:stretch>
                      <a:fillRect/>
                    </a:stretch>
                  </pic:blipFill>
                  <pic:spPr>
                    <a:xfrm>
                      <a:off x="0" y="0"/>
                      <a:ext cx="4210050" cy="2076450"/>
                    </a:xfrm>
                    <a:prstGeom prst="rect">
                      <a:avLst/>
                    </a:prstGeom>
                    <a:noFill/>
                    <a:ln>
                      <a:noFill/>
                    </a:ln>
                  </pic:spPr>
                </pic:pic>
              </a:graphicData>
            </a:graphic>
          </wp:inline>
        </w:drawing>
      </w:r>
      <w:r>
        <w:rPr>
          <w:rFonts w:ascii="Times New Roman" w:eastAsia="宋体" w:hAnsi="Times New Roman" w:cs="Times New Roman"/>
          <w:sz w:val="21"/>
        </w:rPr>
        <w:t>①坚持稳中有进，展现出强大的发展韧性和态势</w:t>
      </w:r>
    </w:p>
    <w:p w14:paraId="0786BE58">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②投资作用趋弱，经济增长已完全转向消费主导</w:t>
      </w:r>
    </w:p>
    <w:p w14:paraId="68C1D9D2">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③内生动力增强，超大规模市场优势在持续发力</w:t>
      </w:r>
    </w:p>
    <w:p w14:paraId="53E90725">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④面对复杂环境，净出口的支撑作用在持续弱化</w:t>
      </w:r>
    </w:p>
    <w:p w14:paraId="28623B5B">
      <w:pPr>
        <w:shd w:val="clear" w:color="auto" w:fill="auto"/>
        <w:tabs>
          <w:tab w:val="left" w:pos="2078"/>
          <w:tab w:val="left" w:pos="4156"/>
          <w:tab w:val="left" w:pos="6234"/>
        </w:tabs>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A．①②</w:t>
      </w:r>
      <w:r>
        <w:rPr>
          <w:rFonts w:ascii="Times New Roman" w:eastAsia="宋体" w:hAnsi="Times New Roman" w:cs="Times New Roman"/>
          <w:sz w:val="21"/>
        </w:rPr>
        <w:tab/>
      </w:r>
      <w:r>
        <w:rPr>
          <w:rFonts w:ascii="Times New Roman" w:eastAsia="宋体" w:hAnsi="Times New Roman" w:cs="Times New Roman"/>
          <w:sz w:val="21"/>
        </w:rPr>
        <w:t>B．①③</w:t>
      </w:r>
      <w:r>
        <w:rPr>
          <w:rFonts w:ascii="Times New Roman" w:eastAsia="宋体" w:hAnsi="Times New Roman" w:cs="Times New Roman"/>
          <w:sz w:val="21"/>
        </w:rPr>
        <w:tab/>
      </w:r>
      <w:r>
        <w:rPr>
          <w:rFonts w:ascii="Times New Roman" w:eastAsia="宋体" w:hAnsi="Times New Roman" w:cs="Times New Roman"/>
          <w:sz w:val="21"/>
        </w:rPr>
        <w:t>C．②④</w:t>
      </w:r>
      <w:r>
        <w:rPr>
          <w:rFonts w:ascii="Times New Roman" w:eastAsia="宋体" w:hAnsi="Times New Roman" w:cs="Times New Roman"/>
          <w:sz w:val="21"/>
        </w:rPr>
        <w:tab/>
      </w:r>
      <w:r>
        <w:rPr>
          <w:rFonts w:ascii="Times New Roman" w:eastAsia="宋体" w:hAnsi="Times New Roman" w:cs="Times New Roman"/>
          <w:sz w:val="21"/>
        </w:rPr>
        <w:t>D．③④</w:t>
      </w:r>
    </w:p>
    <w:p w14:paraId="1A13C6FE">
      <w:pPr>
        <w:shd w:val="clear" w:color="auto" w:fill="auto"/>
        <w:spacing w:before="0" w:after="0" w:line="360" w:lineRule="auto"/>
        <w:ind w:left="315" w:hanging="315"/>
        <w:jc w:val="left"/>
        <w:textAlignment w:val="center"/>
        <w:rPr>
          <w:rFonts w:ascii="Times New Roman" w:eastAsia="宋体" w:hAnsi="Times New Roman" w:cs="Times New Roman"/>
          <w:sz w:val="21"/>
        </w:rPr>
      </w:pPr>
      <w:r>
        <w:rPr>
          <w:rFonts w:ascii="Times New Roman" w:eastAsia="宋体" w:hAnsi="Times New Roman" w:cs="Times New Roman"/>
          <w:sz w:val="21"/>
        </w:rPr>
        <w:t>9．2026年3月，F市政府办公厅修订印发了《F市社区工作者管理办法》。新办法对比2021年试行的版本，共进行了60余处修改。此次修订通过一系列务实举措，全面提升了社区工作者的职业吸引力、岗位认同感和队伍稳定性。对此，下列认识正确的是（</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4E705F89">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①科学立法要保障人民的各项合法权利</w:t>
      </w:r>
    </w:p>
    <w:p w14:paraId="58B694FE">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②地方政府有权制定地方性法规</w:t>
      </w:r>
    </w:p>
    <w:p w14:paraId="2E6BF33A">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③社区工作者所在的组织不是政府的组成部门</w:t>
      </w:r>
    </w:p>
    <w:p w14:paraId="374EFA7C">
      <w:pPr>
        <w:shd w:val="clear" w:color="auto" w:fill="auto"/>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④民主立法是基层群众行使民主权利的生动实践</w:t>
      </w:r>
    </w:p>
    <w:p w14:paraId="6B1BA808">
      <w:pPr>
        <w:shd w:val="clear" w:color="auto" w:fill="auto"/>
        <w:tabs>
          <w:tab w:val="left" w:pos="2078"/>
          <w:tab w:val="left" w:pos="4156"/>
          <w:tab w:val="left" w:pos="6234"/>
        </w:tabs>
        <w:spacing w:before="0" w:after="0" w:line="360" w:lineRule="auto"/>
        <w:ind w:left="315"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A．①③</w:t>
      </w:r>
      <w:r>
        <w:rPr>
          <w:rFonts w:ascii="Times New Roman" w:eastAsia="宋体" w:hAnsi="Times New Roman" w:cs="Times New Roman"/>
          <w:sz w:val="21"/>
        </w:rPr>
        <w:tab/>
      </w:r>
      <w:r>
        <w:rPr>
          <w:rFonts w:ascii="Times New Roman" w:eastAsia="宋体" w:hAnsi="Times New Roman" w:cs="Times New Roman"/>
          <w:sz w:val="21"/>
        </w:rPr>
        <w:t>B．①④</w:t>
      </w:r>
      <w:r>
        <w:rPr>
          <w:rFonts w:ascii="Times New Roman" w:eastAsia="宋体" w:hAnsi="Times New Roman" w:cs="Times New Roman"/>
          <w:sz w:val="21"/>
        </w:rPr>
        <w:tab/>
      </w:r>
      <w:r>
        <w:rPr>
          <w:rFonts w:ascii="Times New Roman" w:eastAsia="宋体" w:hAnsi="Times New Roman" w:cs="Times New Roman"/>
          <w:sz w:val="21"/>
        </w:rPr>
        <w:t>C．②③</w:t>
      </w:r>
      <w:r>
        <w:rPr>
          <w:rFonts w:ascii="Times New Roman" w:eastAsia="宋体" w:hAnsi="Times New Roman" w:cs="Times New Roman"/>
          <w:sz w:val="21"/>
        </w:rPr>
        <w:tab/>
      </w:r>
      <w:r>
        <w:rPr>
          <w:rFonts w:ascii="Times New Roman" w:eastAsia="宋体" w:hAnsi="Times New Roman" w:cs="Times New Roman"/>
          <w:sz w:val="21"/>
        </w:rPr>
        <w:t>D．②④</w:t>
      </w:r>
    </w:p>
    <w:p w14:paraId="30B2F652">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10．“十五五”规划《纲要（草案）》编制以党中央顶层设计为引领，先后组织多场民主党派和无党派人士座谈会，开展网络问计求策、多轮专家论证，最终提交2026年全国人大审议，生动彰显了我国社会主义民主政治的显著优势。据此，下列理解正确的是（</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45DE9902">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①政协协商是中国特色社会主义协商民主的重要渠道</w:t>
      </w:r>
    </w:p>
    <w:p w14:paraId="6B0D1D98">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②民主党派作为参政党，参加国家大政方针的决策</w:t>
      </w:r>
    </w:p>
    <w:p w14:paraId="01B0CFB6">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③民主集中制是党和国家机构的根本组织活动原则</w:t>
      </w:r>
    </w:p>
    <w:p w14:paraId="5B48F451">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④人民代表大会制度是人民当家作主的最高实现形式</w:t>
      </w:r>
    </w:p>
    <w:p w14:paraId="1ACE7185">
      <w:pPr>
        <w:shd w:val="clear" w:color="auto" w:fill="auto"/>
        <w:tabs>
          <w:tab w:val="left" w:pos="2078"/>
          <w:tab w:val="left" w:pos="4156"/>
          <w:tab w:val="left" w:pos="6234"/>
        </w:tabs>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A．①②</w:t>
      </w:r>
      <w:r>
        <w:rPr>
          <w:rFonts w:ascii="Times New Roman" w:eastAsia="宋体" w:hAnsi="Times New Roman" w:cs="Times New Roman"/>
          <w:sz w:val="21"/>
        </w:rPr>
        <w:tab/>
      </w:r>
      <w:r>
        <w:rPr>
          <w:rFonts w:ascii="Times New Roman" w:eastAsia="宋体" w:hAnsi="Times New Roman" w:cs="Times New Roman"/>
          <w:sz w:val="21"/>
        </w:rPr>
        <w:t>B．①④</w:t>
      </w:r>
      <w:r>
        <w:rPr>
          <w:rFonts w:ascii="Times New Roman" w:eastAsia="宋体" w:hAnsi="Times New Roman" w:cs="Times New Roman"/>
          <w:sz w:val="21"/>
        </w:rPr>
        <w:tab/>
      </w:r>
      <w:r>
        <w:rPr>
          <w:rFonts w:ascii="Times New Roman" w:eastAsia="宋体" w:hAnsi="Times New Roman" w:cs="Times New Roman"/>
          <w:sz w:val="21"/>
        </w:rPr>
        <w:t>C．②③</w:t>
      </w:r>
      <w:r>
        <w:rPr>
          <w:rFonts w:ascii="Times New Roman" w:eastAsia="宋体" w:hAnsi="Times New Roman" w:cs="Times New Roman"/>
          <w:sz w:val="21"/>
        </w:rPr>
        <w:tab/>
      </w:r>
      <w:r>
        <w:rPr>
          <w:rFonts w:ascii="Times New Roman" w:eastAsia="宋体" w:hAnsi="Times New Roman" w:cs="Times New Roman"/>
          <w:sz w:val="21"/>
        </w:rPr>
        <w:t>D．③④</w:t>
      </w:r>
    </w:p>
    <w:p w14:paraId="3F12769D">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11．云南省政府“生态为民”行动通过梳理全国生态环境信访投诉举报平台数据，结合</w:t>
      </w:r>
      <w:r>
        <w:rPr>
          <w:rFonts w:ascii="Calibri" w:eastAsia="Calibri" w:hAnsi="Calibri" w:cs="Calibri"/>
          <w:sz w:val="21"/>
        </w:rPr>
        <w:t>12345</w:t>
      </w:r>
      <w:r>
        <w:rPr>
          <w:rFonts w:ascii="Times New Roman" w:eastAsia="宋体" w:hAnsi="Times New Roman" w:cs="Times New Roman"/>
          <w:sz w:val="21"/>
        </w:rPr>
        <w:t>政务服务热线群众诉求，精选</w:t>
      </w:r>
      <w:r>
        <w:rPr>
          <w:rFonts w:ascii="Calibri" w:eastAsia="Calibri" w:hAnsi="Calibri" w:cs="Calibri"/>
          <w:sz w:val="21"/>
        </w:rPr>
        <w:t>100</w:t>
      </w:r>
      <w:r>
        <w:rPr>
          <w:rFonts w:ascii="Times New Roman" w:eastAsia="宋体" w:hAnsi="Times New Roman" w:cs="Times New Roman"/>
          <w:sz w:val="21"/>
        </w:rPr>
        <w:t xml:space="preserve">件群众反映强烈的生态环境问题，由省级部门牵头，市县联动开展集中整治，纪检监察部门全程嵌入监督，切实回应群众对优美生态环境的期盼。“生态为民”行动（ </w:t>
      </w:r>
      <w:r>
        <w:rPr>
          <w:rFonts w:ascii="Calibri" w:eastAsia="Calibri" w:hAnsi="Calibri" w:cs="Calibri"/>
          <w:sz w:val="21"/>
        </w:rPr>
        <w:t xml:space="preserve">  </w:t>
      </w:r>
      <w:r>
        <w:rPr>
          <w:rFonts w:ascii="Times New Roman" w:eastAsia="宋体" w:hAnsi="Times New Roman" w:cs="Times New Roman"/>
          <w:sz w:val="21"/>
        </w:rPr>
        <w:t>）</w:t>
      </w:r>
    </w:p>
    <w:p w14:paraId="4617E927">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①坚持民主集中制，促进国家机关协同联动、高效履职</w:t>
      </w:r>
    </w:p>
    <w:p w14:paraId="27087A18">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②创新信访投诉机制，高效解决反映强烈的生态环境问题</w:t>
      </w:r>
    </w:p>
    <w:p w14:paraId="348A094A">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③坚持民生为大，把维护群众生态环境权益作为出发点和落脚点</w:t>
      </w:r>
    </w:p>
    <w:p w14:paraId="3EFF78BA">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④发挥纪检监察部门的监督作用，为生态环境治理提供法制保障</w:t>
      </w:r>
    </w:p>
    <w:p w14:paraId="1D9DA148">
      <w:pPr>
        <w:shd w:val="clear" w:color="auto" w:fill="auto"/>
        <w:tabs>
          <w:tab w:val="left" w:pos="2078"/>
          <w:tab w:val="left" w:pos="4156"/>
          <w:tab w:val="left" w:pos="6234"/>
        </w:tabs>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A．①③</w:t>
      </w:r>
      <w:r>
        <w:rPr>
          <w:rFonts w:ascii="Times New Roman" w:eastAsia="宋体" w:hAnsi="Times New Roman" w:cs="Times New Roman"/>
          <w:sz w:val="21"/>
        </w:rPr>
        <w:tab/>
      </w:r>
      <w:r>
        <w:rPr>
          <w:rFonts w:ascii="Times New Roman" w:eastAsia="宋体" w:hAnsi="Times New Roman" w:cs="Times New Roman"/>
          <w:sz w:val="21"/>
        </w:rPr>
        <w:t>B．①④</w:t>
      </w:r>
      <w:r>
        <w:rPr>
          <w:rFonts w:ascii="Times New Roman" w:eastAsia="宋体" w:hAnsi="Times New Roman" w:cs="Times New Roman"/>
          <w:sz w:val="21"/>
        </w:rPr>
        <w:tab/>
      </w:r>
      <w:r>
        <w:rPr>
          <w:rFonts w:ascii="Times New Roman" w:eastAsia="宋体" w:hAnsi="Times New Roman" w:cs="Times New Roman"/>
          <w:sz w:val="21"/>
        </w:rPr>
        <w:t>C．②③</w:t>
      </w:r>
      <w:r>
        <w:rPr>
          <w:rFonts w:ascii="Times New Roman" w:eastAsia="宋体" w:hAnsi="Times New Roman" w:cs="Times New Roman"/>
          <w:sz w:val="21"/>
        </w:rPr>
        <w:tab/>
      </w:r>
      <w:r>
        <w:rPr>
          <w:rFonts w:ascii="Times New Roman" w:eastAsia="宋体" w:hAnsi="Times New Roman" w:cs="Times New Roman"/>
          <w:sz w:val="21"/>
        </w:rPr>
        <w:t>D．②④</w:t>
      </w:r>
    </w:p>
    <w:p w14:paraId="291EB2F6">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12．我国研究团队历时6年，揭示了肾脏是运动效应的关键应答器官，其内源代谢物甜菜碱通过抑制天然免疫激酶TBK1，可协同阻遏炎症并缓解多器官衰老进程。该成果揭示了运动延缓衰老的分子机制，为衰老干预提供了理论支持和新策略。这说明（</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27743D9A">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①认识世界的最终目的是为了更好地改造世界</w:t>
      </w:r>
    </w:p>
    <w:p w14:paraId="6BB408A0">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②真理随着实践的发展呈现出反复性和无限性</w:t>
      </w:r>
    </w:p>
    <w:p w14:paraId="36BFFDAD">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③获得对事物的真理性认识需要进行长期的探索</w:t>
      </w:r>
    </w:p>
    <w:p w14:paraId="4BB5E6BA">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④源于实践的认识又促进实践的进一步深化发展</w:t>
      </w:r>
    </w:p>
    <w:p w14:paraId="6C9F7142">
      <w:pPr>
        <w:shd w:val="clear" w:color="auto" w:fill="auto"/>
        <w:tabs>
          <w:tab w:val="left" w:pos="2078"/>
          <w:tab w:val="left" w:pos="4156"/>
          <w:tab w:val="left" w:pos="6234"/>
        </w:tabs>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A．①②</w:t>
      </w:r>
      <w:r>
        <w:rPr>
          <w:rFonts w:ascii="Times New Roman" w:eastAsia="宋体" w:hAnsi="Times New Roman" w:cs="Times New Roman"/>
          <w:sz w:val="21"/>
        </w:rPr>
        <w:tab/>
      </w:r>
      <w:r>
        <w:rPr>
          <w:rFonts w:ascii="Times New Roman" w:eastAsia="宋体" w:hAnsi="Times New Roman" w:cs="Times New Roman"/>
          <w:sz w:val="21"/>
        </w:rPr>
        <w:t>B．①③</w:t>
      </w:r>
      <w:r>
        <w:rPr>
          <w:rFonts w:ascii="Times New Roman" w:eastAsia="宋体" w:hAnsi="Times New Roman" w:cs="Times New Roman"/>
          <w:sz w:val="21"/>
        </w:rPr>
        <w:tab/>
      </w:r>
      <w:r>
        <w:rPr>
          <w:rFonts w:ascii="Times New Roman" w:eastAsia="宋体" w:hAnsi="Times New Roman" w:cs="Times New Roman"/>
          <w:sz w:val="21"/>
        </w:rPr>
        <w:t>C．②④</w:t>
      </w:r>
      <w:r>
        <w:rPr>
          <w:rFonts w:ascii="Times New Roman" w:eastAsia="宋体" w:hAnsi="Times New Roman" w:cs="Times New Roman"/>
          <w:sz w:val="21"/>
        </w:rPr>
        <w:tab/>
      </w:r>
      <w:r>
        <w:rPr>
          <w:rFonts w:ascii="Times New Roman" w:eastAsia="宋体" w:hAnsi="Times New Roman" w:cs="Times New Roman"/>
          <w:sz w:val="21"/>
        </w:rPr>
        <w:t>D．③④</w:t>
      </w:r>
    </w:p>
    <w:p w14:paraId="1280E02D">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13．下图漫画（作者：林帝浣）蕴含的哲学启示是（</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125EE4DC">
      <w:pPr>
        <w:shd w:val="clear" w:color="auto" w:fill="auto"/>
        <w:spacing w:before="0" w:after="0" w:line="360" w:lineRule="auto"/>
        <w:ind w:left="420" w:firstLine="0"/>
        <w:jc w:val="center"/>
        <w:textAlignment w:val="center"/>
        <w:rPr>
          <w:rFonts w:ascii="Times New Roman" w:eastAsia="宋体" w:hAnsi="Times New Roman" w:cs="Times New Roman"/>
          <w:sz w:val="21"/>
        </w:rPr>
      </w:pPr>
      <w:r>
        <w:rPr>
          <w:rFonts w:ascii="Times New Roman" w:eastAsia="Times New Roman" w:hAnsi="Times New Roman" w:cs="Times New Roman"/>
          <w:strike w:val="0"/>
          <w:kern w:val="0"/>
          <w:sz w:val="24"/>
          <w:szCs w:val="24"/>
          <w:u w:val="none"/>
        </w:rPr>
        <w:drawing>
          <wp:inline distT="0" distB="0" distL="114300" distR="114300">
            <wp:extent cx="1485900" cy="1628775"/>
            <wp:effectExtent l="0" t="0" r="0" b="9525"/>
            <wp:docPr id="2" name="图片 3" descr="@@@36b757f4fd82453fadd88ba6794468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36b757f4fd82453fadd88ba6794468c8"/>
                    <pic:cNvPicPr>
                      <a:picLocks noChangeAspect="1"/>
                    </pic:cNvPicPr>
                  </pic:nvPicPr>
                  <pic:blipFill>
                    <a:blip xmlns:r="http://schemas.openxmlformats.org/officeDocument/2006/relationships" r:embed="rId10"/>
                    <a:stretch>
                      <a:fillRect/>
                    </a:stretch>
                  </pic:blipFill>
                  <pic:spPr>
                    <a:xfrm>
                      <a:off x="0" y="0"/>
                      <a:ext cx="1485900" cy="1628775"/>
                    </a:xfrm>
                    <a:prstGeom prst="rect">
                      <a:avLst/>
                    </a:prstGeom>
                    <a:noFill/>
                    <a:ln>
                      <a:noFill/>
                    </a:ln>
                  </pic:spPr>
                </pic:pic>
              </a:graphicData>
            </a:graphic>
          </wp:inline>
        </w:drawing>
      </w:r>
    </w:p>
    <w:p w14:paraId="3BB8CB95">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①坚持一切从实际出发，正视“偷懒”的危害，真正做到脚踏实地</w:t>
      </w:r>
    </w:p>
    <w:p w14:paraId="6385364A">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②“偷懒”与“遇坎”对立统一，把握的关键在于发挥主观能动性</w:t>
      </w:r>
    </w:p>
    <w:p w14:paraId="0286BA37">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③要居安思危，当下“偷懒”的积累必会引发以后“遇坎”的质变</w:t>
      </w:r>
    </w:p>
    <w:p w14:paraId="7C32B445">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④要树立正确的价值判断与价值选择，拒绝“偷懒”，重视当下积累</w:t>
      </w:r>
    </w:p>
    <w:p w14:paraId="678F6A43">
      <w:pPr>
        <w:shd w:val="clear" w:color="auto" w:fill="auto"/>
        <w:tabs>
          <w:tab w:val="left" w:pos="2078"/>
          <w:tab w:val="left" w:pos="4156"/>
          <w:tab w:val="left" w:pos="6234"/>
        </w:tabs>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A．①②</w:t>
      </w:r>
      <w:r>
        <w:rPr>
          <w:rFonts w:ascii="Times New Roman" w:eastAsia="宋体" w:hAnsi="Times New Roman" w:cs="Times New Roman"/>
          <w:sz w:val="21"/>
        </w:rPr>
        <w:tab/>
      </w:r>
      <w:r>
        <w:rPr>
          <w:rFonts w:ascii="Times New Roman" w:eastAsia="宋体" w:hAnsi="Times New Roman" w:cs="Times New Roman"/>
          <w:sz w:val="21"/>
        </w:rPr>
        <w:t>B．①④</w:t>
      </w:r>
      <w:r>
        <w:rPr>
          <w:rFonts w:ascii="Times New Roman" w:eastAsia="宋体" w:hAnsi="Times New Roman" w:cs="Times New Roman"/>
          <w:sz w:val="21"/>
        </w:rPr>
        <w:tab/>
      </w:r>
      <w:r>
        <w:rPr>
          <w:rFonts w:ascii="Times New Roman" w:eastAsia="宋体" w:hAnsi="Times New Roman" w:cs="Times New Roman"/>
          <w:sz w:val="21"/>
        </w:rPr>
        <w:t>C．②③</w:t>
      </w:r>
      <w:r>
        <w:rPr>
          <w:rFonts w:ascii="Times New Roman" w:eastAsia="宋体" w:hAnsi="Times New Roman" w:cs="Times New Roman"/>
          <w:sz w:val="21"/>
        </w:rPr>
        <w:tab/>
      </w:r>
      <w:r>
        <w:rPr>
          <w:rFonts w:ascii="Times New Roman" w:eastAsia="宋体" w:hAnsi="Times New Roman" w:cs="Times New Roman"/>
          <w:sz w:val="21"/>
        </w:rPr>
        <w:t>D．③④</w:t>
      </w:r>
    </w:p>
    <w:p w14:paraId="1647DBC3">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14．许多人心中都有个“武侠梦”。当下，在大力弘扬民族精神的形势下，中华传统武术正在年轻人的传承与创新中绽放新的光华。有的年轻人苦练技艺“武”出精气神，有的年轻人用科技手段实现“御剑飞行”……年轻人与“武”结缘的故事，让我们感受到传统与青春交汇、武术与科技相遇中涌动的新活力。可见（</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4DBC4F99">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①“武侠梦”是人脑对客观实在加工和改造的产物</w:t>
      </w:r>
    </w:p>
    <w:p w14:paraId="559131F2">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②社会客观条件是人们实现“武侠梦”的物质前提</w:t>
      </w:r>
    </w:p>
    <w:p w14:paraId="13650ED9">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③武术涌动新活力需要人们把握唯物辩证法前提</w:t>
      </w:r>
    </w:p>
    <w:p w14:paraId="4E557E4E">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④与“武”结缘是人们自觉作出的价值判断和选择</w:t>
      </w:r>
    </w:p>
    <w:p w14:paraId="2BFB6242">
      <w:pPr>
        <w:shd w:val="clear" w:color="auto" w:fill="auto"/>
        <w:tabs>
          <w:tab w:val="left" w:pos="2078"/>
          <w:tab w:val="left" w:pos="4156"/>
          <w:tab w:val="left" w:pos="6234"/>
        </w:tabs>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A．①③</w:t>
      </w:r>
      <w:r>
        <w:rPr>
          <w:rFonts w:ascii="Times New Roman" w:eastAsia="宋体" w:hAnsi="Times New Roman" w:cs="Times New Roman"/>
          <w:sz w:val="21"/>
        </w:rPr>
        <w:tab/>
      </w:r>
      <w:r>
        <w:rPr>
          <w:rFonts w:ascii="Times New Roman" w:eastAsia="宋体" w:hAnsi="Times New Roman" w:cs="Times New Roman"/>
          <w:sz w:val="21"/>
        </w:rPr>
        <w:t>B．①④</w:t>
      </w:r>
      <w:r>
        <w:rPr>
          <w:rFonts w:ascii="Times New Roman" w:eastAsia="宋体" w:hAnsi="Times New Roman" w:cs="Times New Roman"/>
          <w:sz w:val="21"/>
        </w:rPr>
        <w:tab/>
      </w:r>
      <w:r>
        <w:rPr>
          <w:rFonts w:ascii="Times New Roman" w:eastAsia="宋体" w:hAnsi="Times New Roman" w:cs="Times New Roman"/>
          <w:sz w:val="21"/>
        </w:rPr>
        <w:t>C．②③</w:t>
      </w:r>
      <w:r>
        <w:rPr>
          <w:rFonts w:ascii="Times New Roman" w:eastAsia="宋体" w:hAnsi="Times New Roman" w:cs="Times New Roman"/>
          <w:sz w:val="21"/>
        </w:rPr>
        <w:tab/>
      </w:r>
      <w:r>
        <w:rPr>
          <w:rFonts w:ascii="Times New Roman" w:eastAsia="宋体" w:hAnsi="Times New Roman" w:cs="Times New Roman"/>
          <w:sz w:val="21"/>
        </w:rPr>
        <w:t>D．②④</w:t>
      </w:r>
    </w:p>
    <w:p w14:paraId="347405D6">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15．2026年1月7日，由3匹马、33峰骆驼、来自4个民族30余名队员组成的“东天山来的骆驼队”沿着古丝绸之路向北蜿蜒而行，从新疆出发，途经甘肃、宁夏等地，行程3000多公里，耗时130多天，徒步抵达河南洛阳，弘扬丝路精神，开展文化交流活动，推荐新疆的文旅产业与特色民族产品。这体现了（</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082E90B6">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①新疆产品的民族性寓于丝路文化的共通性之中</w:t>
      </w:r>
    </w:p>
    <w:p w14:paraId="35AC7C24">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②丝路精神是中华民族整体风貌和精神特征的集中体现</w:t>
      </w:r>
    </w:p>
    <w:p w14:paraId="44DB2D70">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③骆驼队千里之行为传播丝路文化提供了物化载体</w:t>
      </w:r>
    </w:p>
    <w:p w14:paraId="41523AF2">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④文化反作用于经济，为经济发展注入动力</w:t>
      </w:r>
    </w:p>
    <w:p w14:paraId="66EA3EB1">
      <w:pPr>
        <w:shd w:val="clear" w:color="auto" w:fill="auto"/>
        <w:tabs>
          <w:tab w:val="left" w:pos="2078"/>
          <w:tab w:val="left" w:pos="4156"/>
          <w:tab w:val="left" w:pos="6234"/>
        </w:tabs>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A．①②</w:t>
      </w:r>
      <w:r>
        <w:rPr>
          <w:rFonts w:ascii="Times New Roman" w:eastAsia="宋体" w:hAnsi="Times New Roman" w:cs="Times New Roman"/>
          <w:sz w:val="21"/>
        </w:rPr>
        <w:tab/>
      </w:r>
      <w:r>
        <w:rPr>
          <w:rFonts w:ascii="Times New Roman" w:eastAsia="宋体" w:hAnsi="Times New Roman" w:cs="Times New Roman"/>
          <w:sz w:val="21"/>
        </w:rPr>
        <w:t>B．①③</w:t>
      </w:r>
      <w:r>
        <w:rPr>
          <w:rFonts w:ascii="Times New Roman" w:eastAsia="宋体" w:hAnsi="Times New Roman" w:cs="Times New Roman"/>
          <w:sz w:val="21"/>
        </w:rPr>
        <w:tab/>
      </w:r>
      <w:r>
        <w:rPr>
          <w:rFonts w:ascii="Times New Roman" w:eastAsia="宋体" w:hAnsi="Times New Roman" w:cs="Times New Roman"/>
          <w:sz w:val="21"/>
        </w:rPr>
        <w:t>C．②④</w:t>
      </w:r>
      <w:r>
        <w:rPr>
          <w:rFonts w:ascii="Times New Roman" w:eastAsia="宋体" w:hAnsi="Times New Roman" w:cs="Times New Roman"/>
          <w:sz w:val="21"/>
        </w:rPr>
        <w:tab/>
      </w:r>
      <w:r>
        <w:rPr>
          <w:rFonts w:ascii="Times New Roman" w:eastAsia="宋体" w:hAnsi="Times New Roman" w:cs="Times New Roman"/>
          <w:sz w:val="21"/>
        </w:rPr>
        <w:t>D．③④</w:t>
      </w:r>
    </w:p>
    <w:p w14:paraId="6F1EB0D2">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16．过去一段时间，新能源产业部分领域依赖低价抢占市场的“内卷式”竞争愈演愈烈，甚至出现了将国内财政的出口退税直接转化为海外市场降价空间的现象。这种“内卷外化”的竞争，损害了国家利益与行业生态，也极易引发海外的反补贴调查，为整个行业的全球化之路蒙上阴影。下列能够扭转“内卷”现象的措施有（</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00F175FE">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①加强前沿领域技术创新攻关，提升产业竞争优势</w:t>
      </w:r>
    </w:p>
    <w:p w14:paraId="14C93A14">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②推动产业链上下游从竞争走向合作，降低运营成本</w:t>
      </w:r>
    </w:p>
    <w:p w14:paraId="4BC9669B">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③支持企业在海外设立生产基地，推进“走出去”运营</w:t>
      </w:r>
    </w:p>
    <w:p w14:paraId="07328E83">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④主动参与WTO等国际规则制定，优化国际营商环境</w:t>
      </w:r>
    </w:p>
    <w:p w14:paraId="73CD94B8">
      <w:pPr>
        <w:shd w:val="clear" w:color="auto" w:fill="auto"/>
        <w:tabs>
          <w:tab w:val="left" w:pos="2078"/>
          <w:tab w:val="left" w:pos="4156"/>
          <w:tab w:val="left" w:pos="6234"/>
        </w:tabs>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A．①②</w:t>
      </w:r>
      <w:r>
        <w:rPr>
          <w:rFonts w:ascii="Times New Roman" w:eastAsia="宋体" w:hAnsi="Times New Roman" w:cs="Times New Roman"/>
          <w:sz w:val="21"/>
        </w:rPr>
        <w:tab/>
      </w:r>
      <w:r>
        <w:rPr>
          <w:rFonts w:ascii="Times New Roman" w:eastAsia="宋体" w:hAnsi="Times New Roman" w:cs="Times New Roman"/>
          <w:sz w:val="21"/>
        </w:rPr>
        <w:t>B．①③</w:t>
      </w:r>
      <w:r>
        <w:rPr>
          <w:rFonts w:ascii="Times New Roman" w:eastAsia="宋体" w:hAnsi="Times New Roman" w:cs="Times New Roman"/>
          <w:sz w:val="21"/>
        </w:rPr>
        <w:tab/>
      </w:r>
      <w:r>
        <w:rPr>
          <w:rFonts w:ascii="Times New Roman" w:eastAsia="宋体" w:hAnsi="Times New Roman" w:cs="Times New Roman"/>
          <w:sz w:val="21"/>
        </w:rPr>
        <w:t>C．②③</w:t>
      </w:r>
      <w:r>
        <w:rPr>
          <w:rFonts w:ascii="Times New Roman" w:eastAsia="宋体" w:hAnsi="Times New Roman" w:cs="Times New Roman"/>
          <w:sz w:val="21"/>
        </w:rPr>
        <w:tab/>
      </w:r>
      <w:r>
        <w:rPr>
          <w:rFonts w:ascii="Times New Roman" w:eastAsia="宋体" w:hAnsi="Times New Roman" w:cs="Times New Roman"/>
          <w:sz w:val="21"/>
        </w:rPr>
        <w:t>D．③④</w:t>
      </w:r>
    </w:p>
    <w:p w14:paraId="2AC3194A">
      <w:pPr>
        <w:numPr>
          <w:ilvl w:val="0"/>
          <w:numId w:val="11"/>
        </w:numPr>
        <w:spacing w:before="0" w:after="0" w:line="360" w:lineRule="auto"/>
        <w:ind w:left="420" w:hanging="420" w:hangingChars="200"/>
        <w:rPr>
          <w:rFonts w:ascii="楷体" w:eastAsia="楷体" w:hAnsi="楷体" w:cs="Calibri" w:hint="eastAsia"/>
          <w:szCs w:val="21"/>
        </w:rPr>
      </w:pPr>
      <w:r>
        <w:rPr>
          <w:rFonts w:ascii="黑体" w:eastAsia="黑体" w:hAnsi="黑体" w:cs="Calibri" w:hint="eastAsia"/>
          <w:b/>
          <w:szCs w:val="21"/>
        </w:rPr>
        <w:t>选择题</w:t>
      </w:r>
      <w:r>
        <w:rPr>
          <w:rFonts w:ascii="黑体" w:eastAsia="黑体" w:hAnsi="黑体" w:cs="Calibri" w:hint="eastAsia"/>
          <w:b/>
          <w:szCs w:val="21"/>
          <w:lang w:val="en-US" w:eastAsia="zh-CN"/>
        </w:rPr>
        <w:t>Ⅱ</w:t>
      </w:r>
      <w:r>
        <w:rPr>
          <w:rFonts w:ascii="楷体" w:eastAsia="楷体" w:hAnsi="楷体" w:cs="Calibri" w:hint="eastAsia"/>
          <w:szCs w:val="21"/>
        </w:rPr>
        <w:t>（本大题共6小题，每小题</w:t>
      </w:r>
      <w:r>
        <w:rPr>
          <w:rFonts w:ascii="楷体" w:eastAsia="楷体" w:hAnsi="楷体" w:cs="Calibri" w:hint="eastAsia"/>
          <w:szCs w:val="21"/>
          <w:lang w:val="en-US" w:eastAsia="zh-CN"/>
        </w:rPr>
        <w:t>3</w:t>
      </w:r>
      <w:r>
        <w:rPr>
          <w:rFonts w:ascii="楷体" w:eastAsia="楷体" w:hAnsi="楷体" w:cs="Calibri" w:hint="eastAsia"/>
          <w:szCs w:val="21"/>
        </w:rPr>
        <w:t>分，共</w:t>
      </w:r>
      <w:r>
        <w:rPr>
          <w:rFonts w:ascii="楷体" w:eastAsia="楷体" w:hAnsi="楷体" w:cs="Calibri" w:hint="eastAsia"/>
          <w:szCs w:val="21"/>
          <w:lang w:val="en-US" w:eastAsia="zh-CN"/>
        </w:rPr>
        <w:t>18</w:t>
      </w:r>
      <w:r>
        <w:rPr>
          <w:rFonts w:ascii="楷体" w:eastAsia="楷体" w:hAnsi="楷体" w:cs="Calibri" w:hint="eastAsia"/>
          <w:szCs w:val="21"/>
        </w:rPr>
        <w:t>分。每小题列出的四个备选项中只有一个是符合题目要求的，不选、多选、错选均不得分）</w:t>
      </w:r>
    </w:p>
    <w:p w14:paraId="5371E7BB">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17．近期，日本持续推进军事扩张、突破和平宪法、强化外部军事同盟、大幅增加防务预算并推进武器出口，严重威胁地区安全。2026年2月，我国依据《出口管制法》等法律法规，将20家参与提升日本军事实力的日本实体列入出口管制管控名单，精准反制其“再军事化”行径，坚决维护国家安全与地区和平稳定。我国此举表明（</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2F538633">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①主权国家的管辖权覆盖所有境外企业与国际组织</w:t>
      </w:r>
    </w:p>
    <w:p w14:paraId="20B28C47">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②维护国家安全是我国外交政策的首要目标与核心利益</w:t>
      </w:r>
    </w:p>
    <w:p w14:paraId="6A0F8362">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③主权国家享有独立权，可自主决定对外政策与管制措施</w:t>
      </w:r>
    </w:p>
    <w:p w14:paraId="639AC84F">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④我国坚持总体国家安全观，统筹发展与安全两件大事</w:t>
      </w:r>
    </w:p>
    <w:p w14:paraId="4BD6ECF1">
      <w:pPr>
        <w:shd w:val="clear" w:color="auto" w:fill="auto"/>
        <w:tabs>
          <w:tab w:val="left" w:pos="2078"/>
          <w:tab w:val="left" w:pos="4156"/>
          <w:tab w:val="left" w:pos="6234"/>
        </w:tabs>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A．①②</w:t>
      </w:r>
      <w:r>
        <w:rPr>
          <w:rFonts w:ascii="Times New Roman" w:eastAsia="宋体" w:hAnsi="Times New Roman" w:cs="Times New Roman"/>
          <w:sz w:val="21"/>
        </w:rPr>
        <w:tab/>
      </w:r>
      <w:r>
        <w:rPr>
          <w:rFonts w:ascii="Times New Roman" w:eastAsia="宋体" w:hAnsi="Times New Roman" w:cs="Times New Roman"/>
          <w:sz w:val="21"/>
        </w:rPr>
        <w:t>B．①④</w:t>
      </w:r>
      <w:r>
        <w:rPr>
          <w:rFonts w:ascii="Times New Roman" w:eastAsia="宋体" w:hAnsi="Times New Roman" w:cs="Times New Roman"/>
          <w:sz w:val="21"/>
        </w:rPr>
        <w:tab/>
      </w:r>
      <w:r>
        <w:rPr>
          <w:rFonts w:ascii="Times New Roman" w:eastAsia="宋体" w:hAnsi="Times New Roman" w:cs="Times New Roman"/>
          <w:sz w:val="21"/>
        </w:rPr>
        <w:t>C．②③</w:t>
      </w:r>
      <w:r>
        <w:rPr>
          <w:rFonts w:ascii="Times New Roman" w:eastAsia="宋体" w:hAnsi="Times New Roman" w:cs="Times New Roman"/>
          <w:sz w:val="21"/>
        </w:rPr>
        <w:tab/>
      </w:r>
      <w:r>
        <w:rPr>
          <w:rFonts w:ascii="Times New Roman" w:eastAsia="宋体" w:hAnsi="Times New Roman" w:cs="Times New Roman"/>
          <w:sz w:val="21"/>
        </w:rPr>
        <w:t>D．③④</w:t>
      </w:r>
    </w:p>
    <w:p w14:paraId="0E7FB4E3">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18．某校“法治先锋”社团围绕婚姻关系、相邻权纠纷、著作权使用、劳动纠纷等生活案例，开展了集中点评活动。以下是部分同学的观点：</w:t>
      </w:r>
    </w:p>
    <w:tbl>
      <w:tblPr>
        <w:tblStyle w:val="TableNormal"/>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325"/>
      </w:tblGrid>
      <w:tr w14:paraId="4A08BE79">
        <w:tblPrEx>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47CC620D">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Times New Roman" w:eastAsia="宋体" w:hAnsi="Times New Roman" w:cs="Times New Roman"/>
                <w:sz w:val="21"/>
              </w:rPr>
              <w:t>甲：王某与徐某系表兄妹，二人自愿登记结婚，符合婚姻自由原则，婚姻关系合法有效</w:t>
            </w:r>
          </w:p>
          <w:p w14:paraId="7A6A3E1E">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Times New Roman" w:eastAsia="宋体" w:hAnsi="Times New Roman" w:cs="Times New Roman"/>
                <w:sz w:val="21"/>
              </w:rPr>
              <w:t>乙：张某在自家阳台搭建封闭棚屋，遮挡邻居家采光，违背平等、自愿和公序良俗原则</w:t>
            </w:r>
          </w:p>
          <w:p w14:paraId="21AC9CAD">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Times New Roman" w:eastAsia="宋体" w:hAnsi="Times New Roman" w:cs="Times New Roman"/>
                <w:sz w:val="21"/>
              </w:rPr>
              <w:t>丙：李某未经著作权人许可，将其已发表的散文改编为短视频配乐文案，侵犯了著作权人的改编权</w:t>
            </w:r>
          </w:p>
          <w:p w14:paraId="6B36CB39">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Times New Roman" w:eastAsia="宋体" w:hAnsi="Times New Roman" w:cs="Times New Roman"/>
                <w:sz w:val="21"/>
              </w:rPr>
              <w:t>丁：某公司拖欠职工工资，职工申请劳动仲裁后，对仲裁裁决不服，可即刻向人民法院提起诉讼</w:t>
            </w:r>
          </w:p>
        </w:tc>
      </w:tr>
    </w:tbl>
    <w:p w14:paraId="0BF9C61C">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以上观点中，正确的有（</w:t>
      </w:r>
      <w:r>
        <w:rPr>
          <w:rFonts w:ascii="Times New Roman" w:eastAsia="Times New Roman" w:hAnsi="Times New Roman" w:cs="Times New Roman"/>
          <w:kern w:val="0"/>
          <w:sz w:val="24"/>
          <w:szCs w:val="24"/>
        </w:rPr>
        <w:t>   </w:t>
      </w:r>
      <w:r>
        <w:rPr>
          <w:rFonts w:ascii="Times New Roman" w:eastAsia="宋体" w:hAnsi="Times New Roman" w:cs="Times New Roman"/>
          <w:sz w:val="21"/>
        </w:rPr>
        <w:t>）个。</w:t>
      </w:r>
    </w:p>
    <w:p w14:paraId="458ABD97">
      <w:pPr>
        <w:shd w:val="clear" w:color="auto" w:fill="auto"/>
        <w:tabs>
          <w:tab w:val="left" w:pos="2078"/>
          <w:tab w:val="left" w:pos="4156"/>
          <w:tab w:val="left" w:pos="6234"/>
        </w:tabs>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A．1</w:t>
      </w:r>
      <w:r>
        <w:rPr>
          <w:rFonts w:ascii="Times New Roman" w:eastAsia="宋体" w:hAnsi="Times New Roman" w:cs="Times New Roman"/>
          <w:sz w:val="21"/>
        </w:rPr>
        <w:tab/>
      </w:r>
      <w:r>
        <w:rPr>
          <w:rFonts w:ascii="Times New Roman" w:eastAsia="宋体" w:hAnsi="Times New Roman" w:cs="Times New Roman"/>
          <w:sz w:val="21"/>
        </w:rPr>
        <w:t>B．2</w:t>
      </w:r>
      <w:r>
        <w:rPr>
          <w:rFonts w:ascii="Times New Roman" w:eastAsia="宋体" w:hAnsi="Times New Roman" w:cs="Times New Roman"/>
          <w:sz w:val="21"/>
        </w:rPr>
        <w:tab/>
      </w:r>
      <w:r>
        <w:rPr>
          <w:rFonts w:ascii="Times New Roman" w:eastAsia="宋体" w:hAnsi="Times New Roman" w:cs="Times New Roman"/>
          <w:sz w:val="21"/>
        </w:rPr>
        <w:t>C．3</w:t>
      </w:r>
      <w:r>
        <w:rPr>
          <w:rFonts w:ascii="Times New Roman" w:eastAsia="宋体" w:hAnsi="Times New Roman" w:cs="Times New Roman"/>
          <w:sz w:val="21"/>
        </w:rPr>
        <w:tab/>
      </w:r>
      <w:r>
        <w:rPr>
          <w:rFonts w:ascii="Times New Roman" w:eastAsia="宋体" w:hAnsi="Times New Roman" w:cs="Times New Roman"/>
          <w:sz w:val="21"/>
        </w:rPr>
        <w:t>D．4</w:t>
      </w:r>
    </w:p>
    <w:p w14:paraId="348650C2">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19．小张与小王因一起房屋产权纠纷起诉至法院，案件审理过程中发生以下情形：主审法官是小张姑姑的高中同学，小王认为可能影响公正审理，申请法官回避；小王因经济困难，向法院申请法律援助律师代理诉讼；一审判决后，小王认为事实认定错误。下列说法正确的是（</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0773898A">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①一审判决生效后，如果小王不服法院的判决可申请再审</w:t>
      </w:r>
    </w:p>
    <w:p w14:paraId="270B77E1">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②若小王不服法院的判决，可在一审判决后15日内提起上诉</w:t>
      </w:r>
    </w:p>
    <w:p w14:paraId="2FBAE4F6">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③若小王月收入低于当地最低工资标准，法院必须提供法律援助</w:t>
      </w:r>
    </w:p>
    <w:p w14:paraId="5A59A3A8">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④法官与当事人亲属的同学关系如果可能影响案件公正审理，当事人就可以申请回避</w:t>
      </w:r>
    </w:p>
    <w:p w14:paraId="3EF2DB00">
      <w:pPr>
        <w:shd w:val="clear" w:color="auto" w:fill="auto"/>
        <w:tabs>
          <w:tab w:val="left" w:pos="2078"/>
          <w:tab w:val="left" w:pos="4156"/>
          <w:tab w:val="left" w:pos="6234"/>
        </w:tabs>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A．①②</w:t>
      </w:r>
      <w:r>
        <w:rPr>
          <w:rFonts w:ascii="Times New Roman" w:eastAsia="宋体" w:hAnsi="Times New Roman" w:cs="Times New Roman"/>
          <w:sz w:val="21"/>
        </w:rPr>
        <w:tab/>
      </w:r>
      <w:r>
        <w:rPr>
          <w:rFonts w:ascii="Times New Roman" w:eastAsia="宋体" w:hAnsi="Times New Roman" w:cs="Times New Roman"/>
          <w:sz w:val="21"/>
        </w:rPr>
        <w:t>B．①③</w:t>
      </w:r>
      <w:r>
        <w:rPr>
          <w:rFonts w:ascii="Times New Roman" w:eastAsia="宋体" w:hAnsi="Times New Roman" w:cs="Times New Roman"/>
          <w:sz w:val="21"/>
        </w:rPr>
        <w:tab/>
      </w:r>
      <w:r>
        <w:rPr>
          <w:rFonts w:ascii="Times New Roman" w:eastAsia="宋体" w:hAnsi="Times New Roman" w:cs="Times New Roman"/>
          <w:sz w:val="21"/>
        </w:rPr>
        <w:t>C．②④</w:t>
      </w:r>
      <w:r>
        <w:rPr>
          <w:rFonts w:ascii="Times New Roman" w:eastAsia="宋体" w:hAnsi="Times New Roman" w:cs="Times New Roman"/>
          <w:sz w:val="21"/>
        </w:rPr>
        <w:tab/>
      </w:r>
      <w:r>
        <w:rPr>
          <w:rFonts w:ascii="Times New Roman" w:eastAsia="宋体" w:hAnsi="Times New Roman" w:cs="Times New Roman"/>
          <w:sz w:val="21"/>
        </w:rPr>
        <w:t>D．③④</w:t>
      </w:r>
    </w:p>
    <w:p w14:paraId="20DA0BA6">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20．某校开展多项活动，打造全域协同育人生态。甲乙丙丁四个班的同学去思政课实践基地和革命历史展览馆参加社会实践。因为时间限制每班只能参加一个项目。下面是四个班级同学的表述，其中只有一个班级同学的表述是真的：</w:t>
      </w:r>
    </w:p>
    <w:tbl>
      <w:tblPr>
        <w:tblStyle w:val="TableNormal"/>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325"/>
      </w:tblGrid>
      <w:tr w14:paraId="0AD37C1B">
        <w:tblPrEx>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2E1B43DF">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Times New Roman" w:eastAsia="宋体" w:hAnsi="Times New Roman" w:cs="Times New Roman"/>
                <w:sz w:val="21"/>
              </w:rPr>
              <w:t>甲：我班没有去参观革命历史展览馆。</w:t>
            </w:r>
          </w:p>
          <w:p w14:paraId="1F7D5BE8">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Times New Roman" w:eastAsia="宋体" w:hAnsi="Times New Roman" w:cs="Times New Roman"/>
                <w:sz w:val="21"/>
              </w:rPr>
              <w:t>乙：甲班没有去思政课实践基地。</w:t>
            </w:r>
          </w:p>
          <w:p w14:paraId="53BEA101">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Times New Roman" w:eastAsia="宋体" w:hAnsi="Times New Roman" w:cs="Times New Roman"/>
                <w:sz w:val="21"/>
              </w:rPr>
              <w:t>丙：或者甲班去参观革命历史展览馆，或者丁班没有去革命历史展览馆。</w:t>
            </w:r>
          </w:p>
          <w:p w14:paraId="552FD2B8">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Times New Roman" w:eastAsia="宋体" w:hAnsi="Times New Roman" w:cs="Times New Roman"/>
                <w:sz w:val="21"/>
              </w:rPr>
              <w:t>丁：我班和丙班都没有去思政课实践基地。</w:t>
            </w:r>
          </w:p>
        </w:tc>
      </w:tr>
    </w:tbl>
    <w:p w14:paraId="1C38C2BF">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以上四个班级中，肯定去思政课实践基地的是（</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56E815B2">
      <w:pPr>
        <w:shd w:val="clear" w:color="auto" w:fill="auto"/>
        <w:tabs>
          <w:tab w:val="left" w:pos="2078"/>
          <w:tab w:val="left" w:pos="4156"/>
          <w:tab w:val="left" w:pos="6234"/>
        </w:tabs>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A．甲和丙</w:t>
      </w:r>
      <w:r>
        <w:rPr>
          <w:rFonts w:ascii="Times New Roman" w:eastAsia="宋体" w:hAnsi="Times New Roman" w:cs="Times New Roman"/>
          <w:sz w:val="21"/>
        </w:rPr>
        <w:tab/>
      </w:r>
      <w:r>
        <w:rPr>
          <w:rFonts w:ascii="Times New Roman" w:eastAsia="宋体" w:hAnsi="Times New Roman" w:cs="Times New Roman"/>
          <w:sz w:val="21"/>
        </w:rPr>
        <w:t>B．甲和丁</w:t>
      </w:r>
      <w:r>
        <w:rPr>
          <w:rFonts w:ascii="Times New Roman" w:eastAsia="宋体" w:hAnsi="Times New Roman" w:cs="Times New Roman"/>
          <w:sz w:val="21"/>
        </w:rPr>
        <w:tab/>
      </w:r>
      <w:r>
        <w:rPr>
          <w:rFonts w:ascii="Times New Roman" w:eastAsia="宋体" w:hAnsi="Times New Roman" w:cs="Times New Roman"/>
          <w:sz w:val="21"/>
        </w:rPr>
        <w:t>C．乙和丙</w:t>
      </w:r>
      <w:r>
        <w:rPr>
          <w:rFonts w:ascii="Times New Roman" w:eastAsia="宋体" w:hAnsi="Times New Roman" w:cs="Times New Roman"/>
          <w:sz w:val="21"/>
        </w:rPr>
        <w:tab/>
      </w:r>
      <w:r>
        <w:rPr>
          <w:rFonts w:ascii="Times New Roman" w:eastAsia="宋体" w:hAnsi="Times New Roman" w:cs="Times New Roman"/>
          <w:sz w:val="21"/>
        </w:rPr>
        <w:t>D．乙和丁</w:t>
      </w:r>
    </w:p>
    <w:p w14:paraId="3A0C7C6F">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21．中兴通讯在6G研发中采取了一系列创新举措：一方面，围绕6G芯片、仪器仪表等进行全链条布局，联合伙伴攻克核心环节技术难题；另一方面，投入巨资打造6G开放实验室，在沉浸式通信、具身智能、低空经济等领域开展场景孵化，探索多种技术路线和应用可能性。中兴通讯的研发策略（</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48F9569C">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①运用发散思维，探索6G技术的多应用场景和发展方向</w:t>
      </w:r>
    </w:p>
    <w:p w14:paraId="59A6FB5C">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②运用聚合思维，聚焦核心技术难题进行全链条协同攻关</w:t>
      </w:r>
    </w:p>
    <w:p w14:paraId="42ACCB70">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③运用逆向思维，打破对常规通信技术发展路径的依赖性</w:t>
      </w:r>
    </w:p>
    <w:p w14:paraId="1DC273D4">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④通过头脑风暴法，集思广益产生6G研发的创造性设想</w:t>
      </w:r>
    </w:p>
    <w:p w14:paraId="73DF4562">
      <w:pPr>
        <w:shd w:val="clear" w:color="auto" w:fill="auto"/>
        <w:tabs>
          <w:tab w:val="left" w:pos="2078"/>
          <w:tab w:val="left" w:pos="4156"/>
          <w:tab w:val="left" w:pos="6234"/>
        </w:tabs>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A．①②</w:t>
      </w:r>
      <w:r>
        <w:rPr>
          <w:rFonts w:ascii="Times New Roman" w:eastAsia="宋体" w:hAnsi="Times New Roman" w:cs="Times New Roman"/>
          <w:sz w:val="21"/>
        </w:rPr>
        <w:tab/>
      </w:r>
      <w:r>
        <w:rPr>
          <w:rFonts w:ascii="Times New Roman" w:eastAsia="宋体" w:hAnsi="Times New Roman" w:cs="Times New Roman"/>
          <w:sz w:val="21"/>
        </w:rPr>
        <w:t>B．①③</w:t>
      </w:r>
      <w:r>
        <w:rPr>
          <w:rFonts w:ascii="Times New Roman" w:eastAsia="宋体" w:hAnsi="Times New Roman" w:cs="Times New Roman"/>
          <w:sz w:val="21"/>
        </w:rPr>
        <w:tab/>
      </w:r>
      <w:r>
        <w:rPr>
          <w:rFonts w:ascii="Times New Roman" w:eastAsia="宋体" w:hAnsi="Times New Roman" w:cs="Times New Roman"/>
          <w:sz w:val="21"/>
        </w:rPr>
        <w:t>C．②③</w:t>
      </w:r>
      <w:r>
        <w:rPr>
          <w:rFonts w:ascii="Times New Roman" w:eastAsia="宋体" w:hAnsi="Times New Roman" w:cs="Times New Roman"/>
          <w:sz w:val="21"/>
        </w:rPr>
        <w:tab/>
      </w:r>
      <w:r>
        <w:rPr>
          <w:rFonts w:ascii="Times New Roman" w:eastAsia="宋体" w:hAnsi="Times New Roman" w:cs="Times New Roman"/>
          <w:sz w:val="21"/>
        </w:rPr>
        <w:t>D．③④</w:t>
      </w:r>
    </w:p>
    <w:p w14:paraId="30A0519B">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22．2025年7月30日，中共中央政治局会议指出，下半年的宏观政策要持续发力、适时加力，要落实落细更加积极的财政政策和适度宽松的货币政策，充分释放政策效应。下列做法体现会议精神的是（</w:t>
      </w:r>
      <w:r>
        <w:rPr>
          <w:rFonts w:ascii="Times New Roman" w:eastAsia="Times New Roman" w:hAnsi="Times New Roman" w:cs="Times New Roman"/>
          <w:kern w:val="0"/>
          <w:sz w:val="24"/>
          <w:szCs w:val="24"/>
        </w:rPr>
        <w:t>   </w:t>
      </w:r>
      <w:r>
        <w:rPr>
          <w:rFonts w:ascii="Times New Roman" w:eastAsia="宋体" w:hAnsi="Times New Roman" w:cs="Times New Roman"/>
          <w:sz w:val="21"/>
        </w:rPr>
        <w:t>）</w:t>
      </w:r>
    </w:p>
    <w:p w14:paraId="64B675AE">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①落实落细结构性减税降费，促进投资和消费</w:t>
      </w:r>
    </w:p>
    <w:p w14:paraId="012FA2D0">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②积极下调存款准备金率，降低企业投资风险</w:t>
      </w:r>
    </w:p>
    <w:p w14:paraId="61D5093C">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③加大逆回购操作，保持资金流动性合理充裕</w:t>
      </w:r>
    </w:p>
    <w:p w14:paraId="499298D7">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④扩大特别国债发行规模，以增加社会总供给</w:t>
      </w:r>
    </w:p>
    <w:p w14:paraId="19C34338">
      <w:pPr>
        <w:shd w:val="clear" w:color="auto" w:fill="auto"/>
        <w:tabs>
          <w:tab w:val="left" w:pos="2078"/>
          <w:tab w:val="left" w:pos="4156"/>
          <w:tab w:val="left" w:pos="6234"/>
        </w:tabs>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A．①③</w:t>
      </w:r>
      <w:r>
        <w:rPr>
          <w:rFonts w:ascii="Times New Roman" w:eastAsia="宋体" w:hAnsi="Times New Roman" w:cs="Times New Roman"/>
          <w:sz w:val="21"/>
        </w:rPr>
        <w:tab/>
      </w:r>
      <w:r>
        <w:rPr>
          <w:rFonts w:ascii="Times New Roman" w:eastAsia="宋体" w:hAnsi="Times New Roman" w:cs="Times New Roman"/>
          <w:sz w:val="21"/>
        </w:rPr>
        <w:t>B．①④</w:t>
      </w:r>
      <w:r>
        <w:rPr>
          <w:rFonts w:ascii="Times New Roman" w:eastAsia="宋体" w:hAnsi="Times New Roman" w:cs="Times New Roman"/>
          <w:sz w:val="21"/>
        </w:rPr>
        <w:tab/>
      </w:r>
      <w:r>
        <w:rPr>
          <w:rFonts w:ascii="Times New Roman" w:eastAsia="宋体" w:hAnsi="Times New Roman" w:cs="Times New Roman"/>
          <w:sz w:val="21"/>
        </w:rPr>
        <w:t>C．②③</w:t>
      </w:r>
      <w:r>
        <w:rPr>
          <w:rFonts w:ascii="Times New Roman" w:eastAsia="宋体" w:hAnsi="Times New Roman" w:cs="Times New Roman"/>
          <w:sz w:val="21"/>
        </w:rPr>
        <w:tab/>
      </w:r>
      <w:r>
        <w:rPr>
          <w:rFonts w:ascii="Times New Roman" w:eastAsia="宋体" w:hAnsi="Times New Roman" w:cs="Times New Roman"/>
          <w:sz w:val="21"/>
        </w:rPr>
        <w:t>D．②④</w:t>
      </w:r>
    </w:p>
    <w:p w14:paraId="0396B5E9">
      <w:pPr>
        <w:spacing w:before="0" w:after="0" w:line="360" w:lineRule="auto"/>
        <w:ind w:left="0" w:firstLine="0"/>
        <w:jc w:val="left"/>
        <w:textAlignment w:val="center"/>
        <w:rPr>
          <w:rFonts w:ascii="Times New Roman" w:eastAsia="宋体" w:hAnsi="Times New Roman" w:cs="Times New Roman" w:hint="eastAsia"/>
          <w:color w:val="000000"/>
          <w:szCs w:val="21"/>
          <w:lang w:eastAsia="zh-CN"/>
        </w:rPr>
      </w:pPr>
      <w:r>
        <w:rPr>
          <w:rFonts w:ascii="Times New Roman" w:hAnsi="Times New Roman" w:cs="Times New Roman" w:hint="eastAsia"/>
          <w:b/>
          <w:color w:val="000000"/>
          <w:szCs w:val="21"/>
          <w:lang w:val="en-US" w:eastAsia="zh-CN"/>
        </w:rPr>
        <w:t>三</w:t>
      </w:r>
      <w:r>
        <w:rPr>
          <w:rFonts w:ascii="Times New Roman" w:eastAsia="宋体" w:hAnsi="Times New Roman" w:cs="Times New Roman" w:hint="default"/>
          <w:b/>
          <w:color w:val="000000"/>
          <w:szCs w:val="21"/>
        </w:rPr>
        <w:t>、</w:t>
      </w:r>
      <w:r>
        <w:rPr>
          <w:rFonts w:ascii="Times New Roman" w:hAnsi="Times New Roman" w:cs="Times New Roman" w:hint="eastAsia"/>
          <w:b/>
          <w:color w:val="000000"/>
          <w:szCs w:val="21"/>
          <w:lang w:val="en-US" w:eastAsia="zh-CN"/>
        </w:rPr>
        <w:t>材料</w:t>
      </w:r>
      <w:r>
        <w:rPr>
          <w:rFonts w:ascii="Times New Roman" w:eastAsia="宋体" w:hAnsi="Times New Roman" w:cs="Times New Roman" w:hint="default"/>
          <w:b/>
          <w:color w:val="000000"/>
          <w:szCs w:val="21"/>
        </w:rPr>
        <w:t>题</w:t>
      </w:r>
      <w:r>
        <w:rPr>
          <w:rFonts w:ascii="Times New Roman" w:hAnsi="Times New Roman" w:cs="Times New Roman" w:hint="eastAsia"/>
          <w:b/>
          <w:color w:val="000000"/>
          <w:szCs w:val="21"/>
          <w:lang w:eastAsia="zh-CN"/>
        </w:rPr>
        <w:t>。（</w:t>
      </w:r>
      <w:r>
        <w:rPr>
          <w:rFonts w:ascii="Times New Roman" w:eastAsia="宋体" w:hAnsi="Times New Roman" w:cs="Times New Roman" w:hint="default"/>
          <w:b/>
          <w:color w:val="000000"/>
          <w:szCs w:val="21"/>
        </w:rPr>
        <w:t>本题共5小题，共5</w:t>
      </w:r>
      <w:r>
        <w:rPr>
          <w:rFonts w:ascii="Times New Roman" w:hAnsi="Times New Roman" w:cs="Times New Roman" w:hint="eastAsia"/>
          <w:b/>
          <w:color w:val="000000"/>
          <w:szCs w:val="21"/>
          <w:lang w:val="en-US" w:eastAsia="zh-CN"/>
        </w:rPr>
        <w:t>0</w:t>
      </w:r>
      <w:r>
        <w:rPr>
          <w:rFonts w:ascii="Times New Roman" w:eastAsia="宋体" w:hAnsi="Times New Roman" w:cs="Times New Roman" w:hint="default"/>
          <w:b/>
          <w:color w:val="000000"/>
          <w:szCs w:val="21"/>
        </w:rPr>
        <w:t>分。</w:t>
      </w:r>
      <w:r>
        <w:rPr>
          <w:rFonts w:ascii="Times New Roman" w:hAnsi="Times New Roman" w:cs="Times New Roman" w:hint="eastAsia"/>
          <w:b/>
          <w:color w:val="000000"/>
          <w:szCs w:val="21"/>
          <w:lang w:eastAsia="zh-CN"/>
        </w:rPr>
        <w:t>）</w:t>
      </w:r>
    </w:p>
    <w:p w14:paraId="79CD6CB5">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23．阅读材料，完成下列要求。</w:t>
      </w:r>
    </w:p>
    <w:p w14:paraId="1863614D">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楷体" w:eastAsia="楷体" w:hAnsi="楷体" w:cs="楷体"/>
          <w:sz w:val="21"/>
        </w:rPr>
        <w:t>基层强则国家强，基层安则天下安。基层治理作为国家治理的“神经末梢”，直接关系人民群众的切身利益与社会大局稳定。</w:t>
      </w:r>
    </w:p>
    <w:p w14:paraId="6004FE56">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楷体" w:eastAsia="楷体" w:hAnsi="楷体" w:cs="楷体"/>
          <w:sz w:val="21"/>
        </w:rPr>
        <w:t>近年来，D市聚焦基层治理痛点难点，出台一系列创新举措：健全“村社党组织+网格党支部+党员联系户”三级联动体系，以党组织为核心统筹各类治理资源；搭建“民事直说”议事平台，推广“固定议事日+专题议事会”模式，通过“板凳会”“议事桌”等形式组织群众共商急难愁盼问题；培育“法律明白人”队伍，常态化开展进社区、进乡村普法宣传活动，落实“一村（社区）一法律顾问”制度，为群众提供免费法律咨询、法律援助，推动矛盾纠纷就地化解。D市通过多维发力，持续提升基层治理效能，增强了群众获得感、幸福感、安全感。</w:t>
      </w:r>
    </w:p>
    <w:p w14:paraId="6E0A59BF">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结合材料，运用《政治与法治》的相关知识，分析D市基层治理创新的示范价值。</w:t>
      </w:r>
      <w:r>
        <w:rPr>
          <w:rFonts w:ascii="Times New Roman" w:hAnsi="Times New Roman" w:hint="eastAsia"/>
          <w:sz w:val="21"/>
          <w:lang w:eastAsia="zh-CN"/>
        </w:rPr>
        <w:t>（</w:t>
      </w:r>
      <w:r>
        <w:rPr>
          <w:rFonts w:ascii="Times New Roman" w:hAnsi="Times New Roman" w:hint="eastAsia"/>
          <w:sz w:val="21"/>
          <w:lang w:val="en-US" w:eastAsia="zh-CN"/>
        </w:rPr>
        <w:t>9分）</w:t>
      </w:r>
    </w:p>
    <w:p w14:paraId="34FEB5EB">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19C4BAE7">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33EBC059">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0FC6B459">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1BBC8972">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52DE5466">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24．</w:t>
      </w:r>
      <w:r>
        <w:rPr>
          <w:rFonts w:ascii="楷体" w:eastAsia="楷体" w:hAnsi="楷体" w:cs="楷体"/>
          <w:sz w:val="21"/>
        </w:rPr>
        <w:t>学生时代的马克思曾受青年黑格尔派的影响，认为“自我意识”是个体自由与批判的根基。移居巴黎后，他积极参与工人运动，在革命实践和理论探索的结合中对人类社会历史发展进程有了新的认识。</w:t>
      </w:r>
      <w:r>
        <w:rPr>
          <w:rFonts w:ascii="Times New Roman" w:eastAsia="宋体" w:hAnsi="Times New Roman" w:cs="Times New Roman"/>
          <w:sz w:val="21"/>
        </w:rPr>
        <w:t>1845—1846</w:t>
      </w:r>
      <w:r>
        <w:rPr>
          <w:rFonts w:ascii="楷体" w:eastAsia="楷体" w:hAnsi="楷体" w:cs="楷体"/>
          <w:sz w:val="21"/>
        </w:rPr>
        <w:t>年，马克思、恩格斯合作撰写了《德意志意识形态》，第一次比较系统地阐述了历史唯物主义基本原理。</w:t>
      </w:r>
      <w:r>
        <w:rPr>
          <w:rFonts w:ascii="Times New Roman" w:eastAsia="宋体" w:hAnsi="Times New Roman" w:cs="Times New Roman"/>
          <w:sz w:val="21"/>
        </w:rPr>
        <w:t>1848</w:t>
      </w:r>
      <w:r>
        <w:rPr>
          <w:rFonts w:ascii="楷体" w:eastAsia="楷体" w:hAnsi="楷体" w:cs="楷体"/>
          <w:sz w:val="21"/>
        </w:rPr>
        <w:t>年发表的《共产党宣言》，科学论证了资本主义必然灭亡和社会主义必然胜利的历史必然性。同年，马克思、恩格斯积极投入并指导席卷欧洲的资产阶级民主革命。革命失败后，两人深刻总结革命教训，结合亲身经历的资本主义周期性经济危机，系统研究政治经济学。</w:t>
      </w:r>
      <w:r>
        <w:rPr>
          <w:rFonts w:ascii="Times New Roman" w:eastAsia="宋体" w:hAnsi="Times New Roman" w:cs="Times New Roman"/>
          <w:sz w:val="21"/>
        </w:rPr>
        <w:t>1867</w:t>
      </w:r>
      <w:r>
        <w:rPr>
          <w:rFonts w:ascii="楷体" w:eastAsia="楷体" w:hAnsi="楷体" w:cs="楷体"/>
          <w:sz w:val="21"/>
        </w:rPr>
        <w:t>年问世的《资本论》，全面揭示了资本主义的本质和规律。此后，科学社会主义不断与时俱进，开拓创新。</w:t>
      </w:r>
    </w:p>
    <w:p w14:paraId="2DE4B390">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(1)结合材料，运用《中国特色社会主义》的相关知识，简要分析“两个必然”的依据。</w:t>
      </w:r>
      <w:r>
        <w:rPr>
          <w:rFonts w:ascii="Times New Roman" w:hAnsi="Times New Roman" w:hint="eastAsia"/>
          <w:sz w:val="21"/>
          <w:lang w:eastAsia="zh-CN"/>
        </w:rPr>
        <w:t>（</w:t>
      </w:r>
      <w:r>
        <w:rPr>
          <w:rFonts w:ascii="Times New Roman" w:hAnsi="Times New Roman" w:hint="eastAsia"/>
          <w:sz w:val="21"/>
          <w:lang w:val="en-US" w:eastAsia="zh-CN"/>
        </w:rPr>
        <w:t>4分）</w:t>
      </w:r>
    </w:p>
    <w:p w14:paraId="0748B877">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(2)结合材料，运用《哲学与文化》中真理的相关知识，分析科学社会主义的发展过程。</w:t>
      </w:r>
      <w:r>
        <w:rPr>
          <w:rFonts w:ascii="Times New Roman" w:hAnsi="Times New Roman" w:hint="eastAsia"/>
          <w:sz w:val="21"/>
          <w:lang w:eastAsia="zh-CN"/>
        </w:rPr>
        <w:t>（</w:t>
      </w:r>
      <w:r>
        <w:rPr>
          <w:rFonts w:ascii="Times New Roman" w:hAnsi="Times New Roman" w:hint="eastAsia"/>
          <w:sz w:val="21"/>
          <w:lang w:val="en-US" w:eastAsia="zh-CN"/>
        </w:rPr>
        <w:t>8分）</w:t>
      </w:r>
    </w:p>
    <w:p w14:paraId="7D8719DE">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18C2BB62">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00340988">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33D03ED9">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71319603">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0809A545">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5E98EAB9">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67571017">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29DFEAD1">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79764042">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588E159A">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4ED0ED5E">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2B362CB0">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6D1B2DB1">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4C1DE60D">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25．阅读材料，完成下列要求。</w:t>
      </w:r>
    </w:p>
    <w:p w14:paraId="6C2ECF15">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A</w:t>
      </w:r>
      <w:r>
        <w:rPr>
          <w:rFonts w:ascii="楷体" w:eastAsia="楷体" w:hAnsi="楷体" w:cs="楷体"/>
          <w:sz w:val="21"/>
        </w:rPr>
        <w:t>公司长期致力于离心压缩机的研发与生产，拥有一系列关键核心技术。为保持长期竞争优势，公司未对相关技术申请专利，而是采取了一系列保密措施，包括与该公司技术人员李某签订保密协议，约定其在任职期间负有保密义务，离职后不得泄露公司秘密，不得任职于与公司有竞争关系的同类公司等。李某从</w:t>
      </w:r>
      <w:r>
        <w:rPr>
          <w:rFonts w:ascii="Times New Roman" w:eastAsia="宋体" w:hAnsi="Times New Roman" w:cs="Times New Roman"/>
          <w:sz w:val="21"/>
        </w:rPr>
        <w:t>A</w:t>
      </w:r>
      <w:r>
        <w:rPr>
          <w:rFonts w:ascii="楷体" w:eastAsia="楷体" w:hAnsi="楷体" w:cs="楷体"/>
          <w:sz w:val="21"/>
        </w:rPr>
        <w:t>公司离职两年后加入生产同类产品的</w:t>
      </w:r>
      <w:r>
        <w:rPr>
          <w:rFonts w:ascii="Times New Roman" w:eastAsia="宋体" w:hAnsi="Times New Roman" w:cs="Times New Roman"/>
          <w:sz w:val="21"/>
        </w:rPr>
        <w:t>B</w:t>
      </w:r>
      <w:r>
        <w:rPr>
          <w:rFonts w:ascii="楷体" w:eastAsia="楷体" w:hAnsi="楷体" w:cs="楷体"/>
          <w:sz w:val="21"/>
        </w:rPr>
        <w:t>公司，并将上述技术披露给</w:t>
      </w:r>
      <w:r>
        <w:rPr>
          <w:rFonts w:ascii="Times New Roman" w:eastAsia="宋体" w:hAnsi="Times New Roman" w:cs="Times New Roman"/>
          <w:sz w:val="21"/>
        </w:rPr>
        <w:t>B</w:t>
      </w:r>
      <w:r>
        <w:rPr>
          <w:rFonts w:ascii="楷体" w:eastAsia="楷体" w:hAnsi="楷体" w:cs="楷体"/>
          <w:sz w:val="21"/>
        </w:rPr>
        <w:t>公司。</w:t>
      </w:r>
      <w:r>
        <w:rPr>
          <w:rFonts w:ascii="Times New Roman" w:eastAsia="宋体" w:hAnsi="Times New Roman" w:cs="Times New Roman"/>
          <w:sz w:val="21"/>
        </w:rPr>
        <w:t>B</w:t>
      </w:r>
      <w:r>
        <w:rPr>
          <w:rFonts w:ascii="楷体" w:eastAsia="楷体" w:hAnsi="楷体" w:cs="楷体"/>
          <w:sz w:val="21"/>
        </w:rPr>
        <w:t>公司在知道该技术是</w:t>
      </w:r>
      <w:r>
        <w:rPr>
          <w:rFonts w:ascii="Times New Roman" w:eastAsia="宋体" w:hAnsi="Times New Roman" w:cs="Times New Roman"/>
          <w:sz w:val="21"/>
        </w:rPr>
        <w:t>A</w:t>
      </w:r>
      <w:r>
        <w:rPr>
          <w:rFonts w:ascii="楷体" w:eastAsia="楷体" w:hAnsi="楷体" w:cs="楷体"/>
          <w:sz w:val="21"/>
        </w:rPr>
        <w:t>公司商业秘密情况下将该项技术申请专利，导致其被公开，给</w:t>
      </w:r>
      <w:r>
        <w:rPr>
          <w:rFonts w:ascii="Times New Roman" w:eastAsia="宋体" w:hAnsi="Times New Roman" w:cs="Times New Roman"/>
          <w:sz w:val="21"/>
        </w:rPr>
        <w:t>A</w:t>
      </w:r>
      <w:r>
        <w:rPr>
          <w:rFonts w:ascii="楷体" w:eastAsia="楷体" w:hAnsi="楷体" w:cs="楷体"/>
          <w:sz w:val="21"/>
        </w:rPr>
        <w:t>公司造成巨大损失。</w:t>
      </w:r>
    </w:p>
    <w:p w14:paraId="6B71EF31">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①</w:t>
      </w:r>
      <w:r>
        <w:rPr>
          <w:rFonts w:ascii="楷体" w:eastAsia="楷体" w:hAnsi="楷体" w:cs="楷体"/>
          <w:sz w:val="21"/>
        </w:rPr>
        <w:t>用人单位通过约定对劳动者离职后在同类公司择业的限制属于竞业限制。</w:t>
      </w:r>
    </w:p>
    <w:p w14:paraId="7B45B790">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②</w:t>
      </w:r>
      <w:r>
        <w:rPr>
          <w:rFonts w:ascii="楷体" w:eastAsia="楷体" w:hAnsi="楷体" w:cs="楷体"/>
          <w:sz w:val="21"/>
        </w:rPr>
        <w:t>《劳动合同法》第二十四条：</w:t>
      </w:r>
      <w:r>
        <w:rPr>
          <w:rFonts w:ascii="Times New Roman" w:eastAsia="宋体" w:hAnsi="Times New Roman" w:cs="Times New Roman"/>
          <w:sz w:val="20"/>
        </w:rPr>
        <w:t>“⋯⋯</w:t>
      </w:r>
      <w:r>
        <w:rPr>
          <w:rFonts w:ascii="Times New Roman" w:eastAsia="宋体" w:hAnsi="Times New Roman" w:cs="Times New Roman"/>
          <w:sz w:val="21"/>
        </w:rPr>
        <w:t>”</w:t>
      </w:r>
      <w:r>
        <w:rPr>
          <w:rFonts w:ascii="楷体" w:eastAsia="楷体" w:hAnsi="楷体" w:cs="楷体"/>
          <w:sz w:val="21"/>
        </w:rPr>
        <w:t>竞业限制的期限，不得超过两年。</w:t>
      </w:r>
      <w:r>
        <w:rPr>
          <w:rFonts w:ascii="Times New Roman" w:eastAsia="宋体" w:hAnsi="Times New Roman" w:cs="Times New Roman"/>
          <w:sz w:val="21"/>
        </w:rPr>
        <w:t>”</w:t>
      </w:r>
    </w:p>
    <w:p w14:paraId="76D98969">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结合材料，运用《法律与生活》相关知识回答下列问题：</w:t>
      </w:r>
    </w:p>
    <w:p w14:paraId="5FBBE555">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(1)分析案例中各主体行为的不当之处。</w:t>
      </w:r>
      <w:r>
        <w:rPr>
          <w:rFonts w:ascii="Times New Roman" w:hAnsi="Times New Roman" w:hint="eastAsia"/>
          <w:sz w:val="21"/>
          <w:lang w:eastAsia="zh-CN"/>
        </w:rPr>
        <w:t>（</w:t>
      </w:r>
      <w:r>
        <w:rPr>
          <w:rFonts w:ascii="Times New Roman" w:hAnsi="Times New Roman" w:hint="eastAsia"/>
          <w:sz w:val="21"/>
          <w:lang w:val="en-US" w:eastAsia="zh-CN"/>
        </w:rPr>
        <w:t>4分）</w:t>
      </w:r>
    </w:p>
    <w:p w14:paraId="44E7D654">
      <w:pPr>
        <w:shd w:val="clear" w:color="auto" w:fill="auto"/>
        <w:spacing w:before="0" w:after="0" w:line="360" w:lineRule="auto"/>
        <w:ind w:left="420" w:firstLine="0"/>
        <w:jc w:val="left"/>
        <w:textAlignment w:val="center"/>
        <w:rPr>
          <w:rFonts w:ascii="Times New Roman" w:hAnsi="Times New Roman" w:hint="eastAsia"/>
          <w:sz w:val="21"/>
          <w:lang w:val="en-US" w:eastAsia="zh-CN"/>
        </w:rPr>
      </w:pPr>
      <w:r>
        <w:rPr>
          <w:rFonts w:ascii="Times New Roman" w:eastAsia="宋体" w:hAnsi="Times New Roman" w:cs="Times New Roman"/>
          <w:sz w:val="21"/>
        </w:rPr>
        <w:t>(2)从鼓励创新角度，谈谈你对知识产权保护和劳动者权益保护关系的理解。</w:t>
      </w:r>
      <w:r>
        <w:rPr>
          <w:rFonts w:ascii="Times New Roman" w:hAnsi="Times New Roman" w:hint="eastAsia"/>
          <w:sz w:val="21"/>
          <w:lang w:eastAsia="zh-CN"/>
        </w:rPr>
        <w:t>（</w:t>
      </w:r>
      <w:r>
        <w:rPr>
          <w:rFonts w:ascii="Times New Roman" w:hAnsi="Times New Roman" w:hint="eastAsia"/>
          <w:sz w:val="21"/>
          <w:lang w:val="en-US" w:eastAsia="zh-CN"/>
        </w:rPr>
        <w:t>4分）</w:t>
      </w:r>
    </w:p>
    <w:p w14:paraId="383FDA6B">
      <w:pPr>
        <w:shd w:val="clear" w:color="auto" w:fill="auto"/>
        <w:spacing w:before="0" w:after="0" w:line="360" w:lineRule="auto"/>
        <w:ind w:left="420" w:firstLine="0"/>
        <w:jc w:val="left"/>
        <w:textAlignment w:val="center"/>
        <w:rPr>
          <w:rFonts w:ascii="Times New Roman" w:hAnsi="Times New Roman" w:hint="eastAsia"/>
          <w:sz w:val="21"/>
          <w:lang w:val="en-US" w:eastAsia="zh-CN"/>
        </w:rPr>
      </w:pPr>
    </w:p>
    <w:p w14:paraId="0615825D">
      <w:pPr>
        <w:shd w:val="clear" w:color="auto" w:fill="auto"/>
        <w:spacing w:before="0" w:after="0" w:line="360" w:lineRule="auto"/>
        <w:ind w:left="420" w:firstLine="0"/>
        <w:jc w:val="left"/>
        <w:textAlignment w:val="center"/>
        <w:rPr>
          <w:rFonts w:ascii="Times New Roman" w:hAnsi="Times New Roman" w:hint="eastAsia"/>
          <w:sz w:val="21"/>
          <w:lang w:val="en-US" w:eastAsia="zh-CN"/>
        </w:rPr>
      </w:pPr>
    </w:p>
    <w:p w14:paraId="30C88529">
      <w:pPr>
        <w:shd w:val="clear" w:color="auto" w:fill="auto"/>
        <w:spacing w:before="0" w:after="0" w:line="360" w:lineRule="auto"/>
        <w:ind w:left="420" w:firstLine="0"/>
        <w:jc w:val="left"/>
        <w:textAlignment w:val="center"/>
        <w:rPr>
          <w:rFonts w:ascii="Times New Roman" w:hAnsi="Times New Roman" w:hint="eastAsia"/>
          <w:sz w:val="21"/>
          <w:lang w:val="en-US" w:eastAsia="zh-CN"/>
        </w:rPr>
      </w:pPr>
    </w:p>
    <w:p w14:paraId="6DAA692E">
      <w:pPr>
        <w:shd w:val="clear" w:color="auto" w:fill="auto"/>
        <w:spacing w:before="0" w:after="0" w:line="360" w:lineRule="auto"/>
        <w:ind w:left="420" w:firstLine="0"/>
        <w:jc w:val="left"/>
        <w:textAlignment w:val="center"/>
        <w:rPr>
          <w:rFonts w:ascii="Times New Roman" w:hAnsi="Times New Roman" w:hint="eastAsia"/>
          <w:sz w:val="21"/>
          <w:lang w:val="en-US" w:eastAsia="zh-CN"/>
        </w:rPr>
      </w:pPr>
    </w:p>
    <w:p w14:paraId="4FD3E553">
      <w:pPr>
        <w:shd w:val="clear" w:color="auto" w:fill="auto"/>
        <w:spacing w:before="0" w:after="0" w:line="360" w:lineRule="auto"/>
        <w:ind w:left="420" w:firstLine="0"/>
        <w:jc w:val="left"/>
        <w:textAlignment w:val="center"/>
        <w:rPr>
          <w:rFonts w:ascii="Times New Roman" w:hAnsi="Times New Roman" w:hint="eastAsia"/>
          <w:sz w:val="21"/>
          <w:lang w:val="en-US" w:eastAsia="zh-CN"/>
        </w:rPr>
      </w:pPr>
    </w:p>
    <w:p w14:paraId="6E3A1888">
      <w:pPr>
        <w:shd w:val="clear" w:color="auto" w:fill="auto"/>
        <w:spacing w:before="0" w:after="0" w:line="360" w:lineRule="auto"/>
        <w:ind w:left="420" w:hanging="420"/>
        <w:jc w:val="left"/>
        <w:textAlignment w:val="center"/>
        <w:rPr>
          <w:rFonts w:ascii="Times New Roman" w:eastAsia="宋体" w:hAnsi="Times New Roman" w:cs="Times New Roman"/>
          <w:sz w:val="21"/>
        </w:rPr>
      </w:pPr>
      <w:r>
        <w:rPr>
          <w:rFonts w:ascii="Times New Roman" w:eastAsia="宋体" w:hAnsi="Times New Roman" w:cs="Times New Roman"/>
          <w:sz w:val="21"/>
        </w:rPr>
        <w:t>26．</w:t>
      </w:r>
      <w:r>
        <w:rPr>
          <w:rFonts w:ascii="楷体" w:eastAsia="楷体" w:hAnsi="楷体" w:cs="楷体"/>
          <w:sz w:val="21"/>
        </w:rPr>
        <w:t>为探究“使用思维导图与提升成绩之间的关系”，某班研究小组提出若干研究方案。</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765"/>
        <w:gridCol w:w="7800"/>
        <w:gridCol w:w="660"/>
      </w:tblGrid>
      <w:tr w14:paraId="1B9AA1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34ECB12B">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楷体" w:eastAsia="楷体" w:hAnsi="楷体" w:cs="楷体"/>
                <w:sz w:val="21"/>
              </w:rPr>
              <w:t>序号</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15A515F">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楷体" w:eastAsia="楷体" w:hAnsi="楷体" w:cs="楷体"/>
                <w:sz w:val="21"/>
              </w:rPr>
              <w:t>方案内容</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51291D94">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楷体" w:eastAsia="楷体" w:hAnsi="楷体" w:cs="楷体"/>
                <w:sz w:val="21"/>
              </w:rPr>
              <w:t>分析</w:t>
            </w:r>
          </w:p>
        </w:tc>
      </w:tr>
      <w:tr w14:paraId="226A0A86">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B656EAE">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楷体" w:eastAsia="楷体" w:hAnsi="楷体" w:cs="楷体"/>
                <w:sz w:val="21"/>
              </w:rPr>
              <w:t>（1）</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top"/>
          </w:tcPr>
          <w:p w14:paraId="06F3F835">
            <w:pPr>
              <w:shd w:val="clear" w:color="auto" w:fill="auto"/>
              <w:spacing w:before="60" w:after="60" w:line="240" w:lineRule="auto"/>
              <w:ind w:left="0" w:right="0" w:firstLine="0"/>
              <w:jc w:val="left"/>
              <w:textAlignment w:val="center"/>
              <w:rPr>
                <w:rFonts w:ascii="Times New Roman" w:eastAsia="宋体" w:hAnsi="Times New Roman" w:cs="Times New Roman"/>
                <w:sz w:val="21"/>
              </w:rPr>
            </w:pPr>
            <w:r>
              <w:rPr>
                <w:rFonts w:ascii="楷体" w:eastAsia="楷体" w:hAnsi="楷体" w:cs="楷体"/>
                <w:sz w:val="21"/>
              </w:rPr>
              <w:t>向不同学校、不同年级的同学广泛发放问卷调查表，对问卷情况进行汇总</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top"/>
          </w:tcPr>
          <w:p w14:paraId="0CA3F4A0">
            <w:pPr>
              <w:shd w:val="clear" w:color="auto" w:fill="auto"/>
              <w:spacing w:before="60" w:after="60" w:line="240" w:lineRule="auto"/>
              <w:ind w:left="0" w:right="0" w:firstLine="0"/>
              <w:jc w:val="left"/>
              <w:textAlignment w:val="center"/>
              <w:rPr>
                <w:rFonts w:ascii="Times New Roman" w:eastAsia="宋体" w:hAnsi="Times New Roman" w:cs="Times New Roman"/>
                <w:sz w:val="21"/>
              </w:rPr>
            </w:pPr>
          </w:p>
        </w:tc>
      </w:tr>
      <w:tr w14:paraId="48C52C21">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567A5B1">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楷体" w:eastAsia="楷体" w:hAnsi="楷体" w:cs="楷体"/>
                <w:sz w:val="21"/>
              </w:rPr>
              <w:t>（2）</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top"/>
          </w:tcPr>
          <w:p w14:paraId="45A04108">
            <w:pPr>
              <w:shd w:val="clear" w:color="auto" w:fill="auto"/>
              <w:spacing w:before="60" w:after="60" w:line="240" w:lineRule="auto"/>
              <w:ind w:left="0" w:right="0" w:firstLine="0"/>
              <w:jc w:val="left"/>
              <w:textAlignment w:val="center"/>
              <w:rPr>
                <w:rFonts w:ascii="Times New Roman" w:eastAsia="宋体" w:hAnsi="Times New Roman" w:cs="Times New Roman"/>
                <w:sz w:val="21"/>
              </w:rPr>
            </w:pPr>
            <w:r>
              <w:rPr>
                <w:rFonts w:ascii="楷体" w:eastAsia="楷体" w:hAnsi="楷体" w:cs="楷体"/>
                <w:sz w:val="21"/>
              </w:rPr>
              <w:t>追踪多组学习条件相近的同学，观察是否使用思维导图对其成绩的影响</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top"/>
          </w:tcPr>
          <w:p w14:paraId="17048728">
            <w:pPr>
              <w:shd w:val="clear" w:color="auto" w:fill="auto"/>
              <w:spacing w:before="60" w:after="60" w:line="240" w:lineRule="auto"/>
              <w:ind w:left="0" w:right="0" w:firstLine="0"/>
              <w:jc w:val="left"/>
              <w:textAlignment w:val="center"/>
              <w:rPr>
                <w:rFonts w:ascii="Times New Roman" w:eastAsia="宋体" w:hAnsi="Times New Roman" w:cs="Times New Roman"/>
                <w:sz w:val="21"/>
              </w:rPr>
            </w:pPr>
          </w:p>
        </w:tc>
      </w:tr>
      <w:tr w14:paraId="3B35BA4C">
        <w:tblPrEx>
          <w:tblW w:w="0" w:type="auto"/>
          <w:jc w:val="center"/>
          <w:tblCellMar>
            <w:top w:w="120" w:type="dxa"/>
            <w:left w:w="120" w:type="dxa"/>
            <w:bottom w:w="120" w:type="dxa"/>
            <w:right w:w="120" w:type="dxa"/>
          </w:tblCellMar>
        </w:tblPrEx>
        <w:trPr>
          <w:jc w:val="center"/>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700ACC64">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楷体" w:eastAsia="楷体" w:hAnsi="楷体" w:cs="楷体"/>
                <w:sz w:val="21"/>
              </w:rPr>
              <w:t>（3）</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top"/>
          </w:tcPr>
          <w:p w14:paraId="5A262EC9">
            <w:pPr>
              <w:shd w:val="clear" w:color="auto" w:fill="auto"/>
              <w:spacing w:before="60" w:after="60" w:line="240" w:lineRule="auto"/>
              <w:ind w:left="0" w:right="0" w:firstLine="0"/>
              <w:jc w:val="left"/>
              <w:textAlignment w:val="center"/>
              <w:rPr>
                <w:rFonts w:ascii="Times New Roman" w:eastAsia="宋体" w:hAnsi="Times New Roman" w:cs="Times New Roman"/>
                <w:sz w:val="21"/>
              </w:rPr>
            </w:pPr>
            <w:r>
              <w:rPr>
                <w:rFonts w:ascii="楷体" w:eastAsia="楷体" w:hAnsi="楷体" w:cs="楷体"/>
                <w:sz w:val="21"/>
              </w:rPr>
              <w:t>在保持稳定现有的学习环境下，观察思维导图使用频率和成绩提升幅度的相关关系</w:t>
            </w:r>
          </w:p>
        </w:tc>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top"/>
          </w:tcPr>
          <w:p w14:paraId="61616F5A">
            <w:pPr>
              <w:shd w:val="clear" w:color="auto" w:fill="auto"/>
              <w:spacing w:before="60" w:after="60" w:line="240" w:lineRule="auto"/>
              <w:ind w:left="0" w:right="0" w:firstLine="0"/>
              <w:jc w:val="left"/>
              <w:textAlignment w:val="center"/>
              <w:rPr>
                <w:rFonts w:ascii="Times New Roman" w:eastAsia="宋体" w:hAnsi="Times New Roman" w:cs="Times New Roman"/>
                <w:sz w:val="21"/>
              </w:rPr>
            </w:pPr>
          </w:p>
        </w:tc>
      </w:tr>
    </w:tbl>
    <w:p w14:paraId="6D5A03D9">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根据方案内容，运用归纳推理的知识，对具体方案进行分析，完成表格。</w:t>
      </w:r>
      <w:r>
        <w:rPr>
          <w:rFonts w:ascii="Times New Roman" w:hAnsi="Times New Roman" w:hint="eastAsia"/>
          <w:sz w:val="21"/>
          <w:lang w:eastAsia="zh-CN"/>
        </w:rPr>
        <w:t>（</w:t>
      </w:r>
      <w:r>
        <w:rPr>
          <w:rFonts w:ascii="Times New Roman" w:hAnsi="Times New Roman" w:hint="eastAsia"/>
          <w:sz w:val="21"/>
          <w:lang w:val="en-US" w:eastAsia="zh-CN"/>
        </w:rPr>
        <w:t>8分）</w:t>
      </w:r>
    </w:p>
    <w:p w14:paraId="0262A254">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542649C5">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2128DACD">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28006FE1">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4871009D">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25C69CDD">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4E97B8A9">
      <w:pPr>
        <w:shd w:val="clear" w:color="auto" w:fill="auto"/>
        <w:spacing w:before="0" w:after="0" w:line="360" w:lineRule="auto"/>
        <w:ind w:left="420" w:hanging="420"/>
        <w:jc w:val="left"/>
        <w:textAlignment w:val="center"/>
        <w:rPr>
          <w:rFonts w:ascii="Times New Roman" w:eastAsia="宋体" w:hAnsi="Times New Roman" w:cs="Times New Roman"/>
          <w:sz w:val="21"/>
        </w:rPr>
      </w:pPr>
    </w:p>
    <w:p w14:paraId="343F88FC">
      <w:pPr>
        <w:shd w:val="clear" w:color="auto" w:fill="auto"/>
        <w:spacing w:before="0" w:after="0" w:line="360" w:lineRule="auto"/>
        <w:ind w:left="420" w:hanging="420"/>
        <w:jc w:val="left"/>
        <w:textAlignment w:val="center"/>
        <w:rPr>
          <w:rFonts w:ascii="Times New Roman" w:eastAsia="宋体" w:hAnsi="Times New Roman" w:cs="Times New Roman"/>
          <w:sz w:val="21"/>
        </w:rPr>
      </w:pPr>
      <w:bookmarkStart w:id="0" w:name="_GoBack"/>
      <w:bookmarkEnd w:id="0"/>
      <w:r>
        <w:rPr>
          <w:rFonts w:ascii="Times New Roman" w:eastAsia="宋体" w:hAnsi="Times New Roman" w:cs="Times New Roman"/>
          <w:sz w:val="21"/>
        </w:rPr>
        <w:t>27．</w:t>
      </w:r>
      <w:r>
        <w:rPr>
          <w:rFonts w:ascii="楷体" w:eastAsia="楷体" w:hAnsi="楷体" w:cs="楷体"/>
          <w:sz w:val="21"/>
        </w:rPr>
        <w:t>2025年12月，中国外交官李华收到巴西同行罗德里的来信。亲爱的李华：</w:t>
      </w:r>
    </w:p>
    <w:p w14:paraId="7CF6C92F">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楷体" w:eastAsia="楷体" w:hAnsi="楷体" w:cs="楷体"/>
          <w:sz w:val="21"/>
        </w:rPr>
        <w:t>你好！</w:t>
      </w:r>
    </w:p>
    <w:p w14:paraId="0ABBA1E3">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楷体" w:eastAsia="楷体" w:hAnsi="楷体" w:cs="楷体"/>
          <w:sz w:val="21"/>
        </w:rPr>
        <w:t>近期的几则新闻让我对国家主权的行使充满困惑：美国以</w:t>
      </w:r>
      <w:r>
        <w:rPr>
          <w:rFonts w:ascii="Times New Roman" w:eastAsia="宋体" w:hAnsi="Times New Roman" w:cs="Times New Roman"/>
          <w:sz w:val="21"/>
        </w:rPr>
        <w:t>“</w:t>
      </w:r>
      <w:r>
        <w:rPr>
          <w:rFonts w:ascii="楷体" w:eastAsia="楷体" w:hAnsi="楷体" w:cs="楷体"/>
          <w:sz w:val="21"/>
        </w:rPr>
        <w:t>国际组织损害本国主权</w:t>
      </w:r>
      <w:r>
        <w:rPr>
          <w:rFonts w:ascii="Times New Roman" w:eastAsia="宋体" w:hAnsi="Times New Roman" w:cs="Times New Roman"/>
          <w:sz w:val="21"/>
        </w:rPr>
        <w:t>”</w:t>
      </w:r>
      <w:r>
        <w:rPr>
          <w:rFonts w:ascii="楷体" w:eastAsia="楷体" w:hAnsi="楷体" w:cs="楷体"/>
          <w:sz w:val="21"/>
        </w:rPr>
        <w:t>、</w:t>
      </w:r>
      <w:r>
        <w:rPr>
          <w:rFonts w:ascii="Times New Roman" w:eastAsia="宋体" w:hAnsi="Times New Roman" w:cs="Times New Roman"/>
          <w:sz w:val="21"/>
        </w:rPr>
        <w:t>“</w:t>
      </w:r>
      <w:r>
        <w:rPr>
          <w:rFonts w:ascii="楷体" w:eastAsia="楷体" w:hAnsi="楷体" w:cs="楷体"/>
          <w:sz w:val="21"/>
        </w:rPr>
        <w:t>国家主权不容任何外部约束</w:t>
      </w:r>
      <w:r>
        <w:rPr>
          <w:rFonts w:ascii="Times New Roman" w:eastAsia="宋体" w:hAnsi="Times New Roman" w:cs="Times New Roman"/>
          <w:sz w:val="21"/>
        </w:rPr>
        <w:t>”</w:t>
      </w:r>
      <w:r>
        <w:rPr>
          <w:rFonts w:ascii="楷体" w:eastAsia="楷体" w:hAnsi="楷体" w:cs="楷体"/>
          <w:sz w:val="21"/>
        </w:rPr>
        <w:t>为由，宣布退出66个国际组织，联合国秘书长古特雷斯批评这一行径</w:t>
      </w:r>
      <w:r>
        <w:rPr>
          <w:rFonts w:ascii="Times New Roman" w:eastAsia="宋体" w:hAnsi="Times New Roman" w:cs="Times New Roman"/>
          <w:sz w:val="21"/>
        </w:rPr>
        <w:t>“</w:t>
      </w:r>
      <w:r>
        <w:rPr>
          <w:rFonts w:ascii="楷体" w:eastAsia="楷体" w:hAnsi="楷体" w:cs="楷体"/>
          <w:sz w:val="21"/>
        </w:rPr>
        <w:t>破坏全球治理体系</w:t>
      </w:r>
      <w:r>
        <w:rPr>
          <w:rFonts w:ascii="Times New Roman" w:eastAsia="宋体" w:hAnsi="Times New Roman" w:cs="Times New Roman"/>
          <w:sz w:val="21"/>
        </w:rPr>
        <w:t>”</w:t>
      </w:r>
      <w:r>
        <w:rPr>
          <w:rFonts w:ascii="楷体" w:eastAsia="楷体" w:hAnsi="楷体" w:cs="楷体"/>
          <w:sz w:val="21"/>
        </w:rPr>
        <w:t>；古巴外长谴责美国对古巴能源围困，以</w:t>
      </w:r>
      <w:r>
        <w:rPr>
          <w:rFonts w:ascii="Times New Roman" w:eastAsia="宋体" w:hAnsi="Times New Roman" w:cs="Times New Roman"/>
          <w:sz w:val="21"/>
        </w:rPr>
        <w:t>“</w:t>
      </w:r>
      <w:r>
        <w:rPr>
          <w:rFonts w:ascii="楷体" w:eastAsia="楷体" w:hAnsi="楷体" w:cs="楷体"/>
          <w:sz w:val="21"/>
        </w:rPr>
        <w:t>国家安全</w:t>
      </w:r>
      <w:r>
        <w:rPr>
          <w:rFonts w:ascii="Times New Roman" w:eastAsia="宋体" w:hAnsi="Times New Roman" w:cs="Times New Roman"/>
          <w:sz w:val="21"/>
        </w:rPr>
        <w:t>”</w:t>
      </w:r>
      <w:r>
        <w:rPr>
          <w:rFonts w:ascii="楷体" w:eastAsia="楷体" w:hAnsi="楷体" w:cs="楷体"/>
          <w:sz w:val="21"/>
        </w:rPr>
        <w:t>为借口对一个主权国家施加集体惩罚，这种行径构成对人道主义的公然挑衅；瑙鲁等太平洋岛国呼吁</w:t>
      </w:r>
      <w:r>
        <w:rPr>
          <w:rFonts w:ascii="Times New Roman" w:eastAsia="宋体" w:hAnsi="Times New Roman" w:cs="Times New Roman"/>
          <w:sz w:val="21"/>
        </w:rPr>
        <w:t>“</w:t>
      </w:r>
      <w:r>
        <w:rPr>
          <w:rFonts w:ascii="楷体" w:eastAsia="楷体" w:hAnsi="楷体" w:cs="楷体"/>
          <w:sz w:val="21"/>
        </w:rPr>
        <w:t>主权行使不能忽视人类生存利益</w:t>
      </w:r>
      <w:r>
        <w:rPr>
          <w:rFonts w:ascii="Times New Roman" w:eastAsia="宋体" w:hAnsi="Times New Roman" w:cs="Times New Roman"/>
          <w:sz w:val="21"/>
        </w:rPr>
        <w:t>”</w:t>
      </w:r>
      <w:r>
        <w:rPr>
          <w:rFonts w:ascii="楷体" w:eastAsia="楷体" w:hAnsi="楷体" w:cs="楷体"/>
          <w:sz w:val="21"/>
        </w:rPr>
        <w:t>，但发达国家承诺的每年1000亿美元气候资金，至今兑现率不足50%。</w:t>
      </w:r>
    </w:p>
    <w:p w14:paraId="0D659883">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楷体" w:eastAsia="楷体" w:hAnsi="楷体" w:cs="楷体"/>
          <w:sz w:val="21"/>
        </w:rPr>
        <w:t>我想不通：</w:t>
      </w:r>
      <w:r>
        <w:rPr>
          <w:rFonts w:ascii="Times New Roman" w:eastAsia="宋体" w:hAnsi="Times New Roman" w:cs="Times New Roman"/>
          <w:sz w:val="21"/>
        </w:rPr>
        <w:t>“</w:t>
      </w:r>
      <w:r>
        <w:rPr>
          <w:rFonts w:ascii="楷体" w:eastAsia="楷体" w:hAnsi="楷体" w:cs="楷体"/>
          <w:sz w:val="21"/>
        </w:rPr>
        <w:t>主权至上</w:t>
      </w:r>
      <w:r>
        <w:rPr>
          <w:rFonts w:ascii="Times New Roman" w:eastAsia="宋体" w:hAnsi="Times New Roman" w:cs="Times New Roman"/>
          <w:sz w:val="21"/>
        </w:rPr>
        <w:t>”</w:t>
      </w:r>
      <w:r>
        <w:rPr>
          <w:rFonts w:ascii="楷体" w:eastAsia="楷体" w:hAnsi="楷体" w:cs="楷体"/>
          <w:sz w:val="21"/>
        </w:rPr>
        <w:t>是否应成为处理国际关系的绝对原则？国家主权与全球责任之间，到底该如何平衡？</w:t>
      </w:r>
    </w:p>
    <w:p w14:paraId="622EC8BA">
      <w:pPr>
        <w:shd w:val="clear" w:color="auto" w:fill="auto"/>
        <w:spacing w:before="0" w:after="0" w:line="360" w:lineRule="auto"/>
        <w:ind w:left="420" w:firstLine="0"/>
        <w:jc w:val="right"/>
        <w:textAlignment w:val="center"/>
        <w:rPr>
          <w:rFonts w:ascii="Times New Roman" w:eastAsia="宋体" w:hAnsi="Times New Roman" w:cs="Times New Roman"/>
          <w:sz w:val="21"/>
        </w:rPr>
      </w:pPr>
      <w:r>
        <w:rPr>
          <w:rFonts w:ascii="楷体" w:eastAsia="楷体" w:hAnsi="楷体" w:cs="楷体"/>
          <w:sz w:val="21"/>
        </w:rPr>
        <w:t>你的朋友 罗德里</w:t>
      </w:r>
    </w:p>
    <w:p w14:paraId="12118D3A">
      <w:pPr>
        <w:shd w:val="clear" w:color="auto" w:fill="auto"/>
        <w:spacing w:before="0" w:after="0" w:line="360" w:lineRule="auto"/>
        <w:ind w:left="420" w:firstLine="0"/>
        <w:jc w:val="right"/>
        <w:textAlignment w:val="center"/>
        <w:rPr>
          <w:rFonts w:ascii="Times New Roman" w:eastAsia="宋体" w:hAnsi="Times New Roman" w:cs="Times New Roman"/>
          <w:sz w:val="21"/>
        </w:rPr>
      </w:pPr>
      <w:r>
        <w:rPr>
          <w:rFonts w:ascii="楷体" w:eastAsia="楷体" w:hAnsi="楷体" w:cs="楷体"/>
          <w:sz w:val="21"/>
        </w:rPr>
        <w:t>2025年12月10日</w:t>
      </w:r>
    </w:p>
    <w:tbl>
      <w:tblPr>
        <w:tblStyle w:val="TableNormal"/>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325"/>
      </w:tblGrid>
      <w:tr w14:paraId="732292AF">
        <w:tblPrEx>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jc w:val="center"/>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14:paraId="6830D105">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楷体" w:eastAsia="楷体" w:hAnsi="楷体" w:cs="楷体"/>
                <w:sz w:val="21"/>
              </w:rPr>
              <w:t>为解答罗德里的疑问，李华摘编了如下资料：学者C：</w:t>
            </w:r>
            <w:r>
              <w:rPr>
                <w:rFonts w:ascii="Times New Roman" w:eastAsia="宋体" w:hAnsi="Times New Roman" w:cs="Times New Roman"/>
                <w:sz w:val="21"/>
              </w:rPr>
              <w:t>“</w:t>
            </w:r>
            <w:r>
              <w:rPr>
                <w:rFonts w:ascii="楷体" w:eastAsia="楷体" w:hAnsi="楷体" w:cs="楷体"/>
                <w:sz w:val="21"/>
              </w:rPr>
              <w:t>主权至上</w:t>
            </w:r>
            <w:r>
              <w:rPr>
                <w:rFonts w:ascii="Times New Roman" w:eastAsia="宋体" w:hAnsi="Times New Roman" w:cs="Times New Roman"/>
                <w:sz w:val="21"/>
              </w:rPr>
              <w:t>”</w:t>
            </w:r>
            <w:r>
              <w:rPr>
                <w:rFonts w:ascii="楷体" w:eastAsia="楷体" w:hAnsi="楷体" w:cs="楷体"/>
                <w:sz w:val="21"/>
              </w:rPr>
              <w:t>的核心价值在于维护国家独立和自主。坚持主权自主，是各国抵御外部干涉、保障自身核心利益的重要屏障。</w:t>
            </w:r>
          </w:p>
          <w:p w14:paraId="4CA163C5">
            <w:pPr>
              <w:shd w:val="clear" w:color="auto" w:fill="auto"/>
              <w:spacing w:before="60" w:after="60" w:line="240" w:lineRule="auto"/>
              <w:ind w:left="0" w:right="0" w:firstLine="0"/>
              <w:jc w:val="center"/>
              <w:textAlignment w:val="center"/>
              <w:rPr>
                <w:rFonts w:ascii="Times New Roman" w:eastAsia="宋体" w:hAnsi="Times New Roman" w:cs="Times New Roman"/>
                <w:sz w:val="21"/>
              </w:rPr>
            </w:pPr>
            <w:r>
              <w:rPr>
                <w:rFonts w:ascii="楷体" w:eastAsia="楷体" w:hAnsi="楷体" w:cs="楷体"/>
                <w:sz w:val="21"/>
              </w:rPr>
              <w:t>学者D：在全球性问题面前，</w:t>
            </w:r>
            <w:r>
              <w:rPr>
                <w:rFonts w:ascii="Times New Roman" w:eastAsia="宋体" w:hAnsi="Times New Roman" w:cs="Times New Roman"/>
                <w:sz w:val="21"/>
              </w:rPr>
              <w:t>“</w:t>
            </w:r>
            <w:r>
              <w:rPr>
                <w:rFonts w:ascii="楷体" w:eastAsia="楷体" w:hAnsi="楷体" w:cs="楷体"/>
                <w:sz w:val="21"/>
              </w:rPr>
              <w:t>各自为政</w:t>
            </w:r>
            <w:r>
              <w:rPr>
                <w:rFonts w:ascii="Times New Roman" w:eastAsia="宋体" w:hAnsi="Times New Roman" w:cs="Times New Roman"/>
                <w:sz w:val="21"/>
              </w:rPr>
              <w:t>”</w:t>
            </w:r>
            <w:r>
              <w:rPr>
                <w:rFonts w:ascii="楷体" w:eastAsia="楷体" w:hAnsi="楷体" w:cs="楷体"/>
                <w:sz w:val="21"/>
              </w:rPr>
              <w:t>的绝对主权会导致</w:t>
            </w:r>
            <w:r>
              <w:rPr>
                <w:rFonts w:ascii="Times New Roman" w:eastAsia="宋体" w:hAnsi="Times New Roman" w:cs="Times New Roman"/>
                <w:sz w:val="21"/>
              </w:rPr>
              <w:t>“</w:t>
            </w:r>
            <w:r>
              <w:rPr>
                <w:rFonts w:ascii="楷体" w:eastAsia="楷体" w:hAnsi="楷体" w:cs="楷体"/>
                <w:sz w:val="21"/>
              </w:rPr>
              <w:t>集体行动困境</w:t>
            </w:r>
            <w:r>
              <w:rPr>
                <w:rFonts w:ascii="Times New Roman" w:eastAsia="宋体" w:hAnsi="Times New Roman" w:cs="Times New Roman"/>
                <w:sz w:val="21"/>
              </w:rPr>
              <w:t>”</w:t>
            </w:r>
            <w:r>
              <w:rPr>
                <w:rFonts w:ascii="楷体" w:eastAsia="楷体" w:hAnsi="楷体" w:cs="楷体"/>
                <w:sz w:val="21"/>
              </w:rPr>
              <w:t>；部分国家借</w:t>
            </w:r>
            <w:r>
              <w:rPr>
                <w:rFonts w:ascii="Times New Roman" w:eastAsia="宋体" w:hAnsi="Times New Roman" w:cs="Times New Roman"/>
                <w:sz w:val="21"/>
              </w:rPr>
              <w:t>“</w:t>
            </w:r>
            <w:r>
              <w:rPr>
                <w:rFonts w:ascii="楷体" w:eastAsia="楷体" w:hAnsi="楷体" w:cs="楷体"/>
                <w:sz w:val="21"/>
              </w:rPr>
              <w:t>主权至上</w:t>
            </w:r>
            <w:r>
              <w:rPr>
                <w:rFonts w:ascii="Times New Roman" w:eastAsia="宋体" w:hAnsi="Times New Roman" w:cs="Times New Roman"/>
                <w:sz w:val="21"/>
              </w:rPr>
              <w:t>”</w:t>
            </w:r>
            <w:r>
              <w:rPr>
                <w:rFonts w:ascii="楷体" w:eastAsia="楷体" w:hAnsi="楷体" w:cs="楷体"/>
                <w:sz w:val="21"/>
              </w:rPr>
              <w:t>之名推卸国际义务，损害全人类共同利益。</w:t>
            </w:r>
          </w:p>
        </w:tc>
      </w:tr>
    </w:tbl>
    <w:p w14:paraId="09A23741">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结合材料，运用《当代国际政治与经济》相关知识，以李华的名义给罗德里写一封回信，解答其疑问。</w:t>
      </w:r>
    </w:p>
    <w:p w14:paraId="01439244">
      <w:pPr>
        <w:shd w:val="clear" w:color="auto" w:fill="auto"/>
        <w:spacing w:before="0" w:after="0" w:line="360" w:lineRule="auto"/>
        <w:ind w:left="420" w:firstLine="0"/>
        <w:jc w:val="left"/>
        <w:textAlignment w:val="center"/>
        <w:rPr>
          <w:rFonts w:ascii="Times New Roman" w:eastAsia="宋体" w:hAnsi="Times New Roman" w:cs="Times New Roman"/>
          <w:sz w:val="21"/>
        </w:rPr>
      </w:pPr>
      <w:r>
        <w:rPr>
          <w:rFonts w:ascii="Times New Roman" w:eastAsia="宋体" w:hAnsi="Times New Roman" w:cs="Times New Roman"/>
          <w:sz w:val="21"/>
        </w:rPr>
        <w:t>要求：观点正确；知识和材料运用恰当；条理清晰，逻辑严密；300字左右。</w:t>
      </w:r>
      <w:r>
        <w:rPr>
          <w:rFonts w:ascii="Times New Roman" w:hAnsi="Times New Roman" w:hint="eastAsia"/>
          <w:sz w:val="21"/>
          <w:lang w:eastAsia="zh-CN"/>
        </w:rPr>
        <w:t>（</w:t>
      </w:r>
      <w:r>
        <w:rPr>
          <w:rFonts w:ascii="Times New Roman" w:hAnsi="Times New Roman" w:hint="eastAsia"/>
          <w:sz w:val="21"/>
          <w:lang w:val="en-US" w:eastAsia="zh-CN"/>
        </w:rPr>
        <w:t>12分）</w:t>
      </w:r>
    </w:p>
    <w:p w14:paraId="601CFCF2">
      <w:pPr>
        <w:keepNext w:val="0"/>
        <w:keepLines w:val="0"/>
        <w:pageBreakBefore w:val="0"/>
        <w:widowControl w:val="0"/>
        <w:kinsoku/>
        <w:wordWrap/>
        <w:overflowPunct/>
        <w:topLinePunct w:val="0"/>
        <w:autoSpaceDE/>
        <w:autoSpaceDN/>
        <w:bidi w:val="0"/>
        <w:adjustRightInd/>
        <w:snapToGrid/>
        <w:spacing w:before="0" w:after="0" w:line="360" w:lineRule="auto"/>
        <w:ind w:left="420" w:firstLine="0"/>
        <w:textAlignment w:val="auto"/>
        <w:rPr>
          <w:rFonts w:ascii="Times New Roman" w:eastAsia="楷体" w:hAnsi="Times New Roman" w:cs="Times New Roman" w:hint="default"/>
          <w:color w:val="7030A0"/>
        </w:rPr>
      </w:pPr>
    </w:p>
    <w:p w14:paraId="47126935">
      <w:pPr>
        <w:rPr>
          <w:rFonts w:ascii="Times New Roman" w:hAnsi="Times New Roman" w:cs="Times New Roman" w:hint="default"/>
        </w:rPr>
      </w:pPr>
    </w:p>
    <w:sectPr>
      <w:headerReference w:type="even" r:id="rId11"/>
      <w:headerReference w:type="default" r:id="rId12"/>
      <w:footerReference w:type="even" r:id="rId13"/>
      <w:footerReference w:type="default" r:id="rId14"/>
      <w:pgSz w:w="23814" w:h="16839" w:orient="landscape"/>
      <w:pgMar w:top="1134" w:right="1134" w:bottom="1134" w:left="1134" w:header="851" w:footer="992" w:gutter="1418"/>
      <w:cols w:num="2" w:sep="1" w:space="425"/>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embedRegular r:id="rId1" w:subsetted="1" w:fontKey="{F3882479-674A-4CDC-9510-09F8E1A19B4A}"/>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embedRegular r:id="rId2" w:subsetted="1" w:fontKey="{EFBA50D8-0AF3-4F9F-9B7C-C1E281D25434}"/>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200247B" w:usb2="00000009" w:usb3="00000000" w:csb0="200001FF" w:csb1="00000000"/>
    <w:embedRegular r:id="rId3" w:subsetted="1" w:fontKey="{30E167C7-EB31-4DFA-9E27-58E75788017D}"/>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embedRegular r:id="rId4" w:subsetted="1" w:fontKey="{24D23E8D-9083-483F-8AE4-90322ED966C9}"/>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0501BF7">
    <w:pPr>
      <w:pStyle w:val="Footer"/>
      <w:ind w:firstLine="4140" w:firstLineChars="2300"/>
      <w:rPr>
        <w:rFonts w:ascii="Times New Roman" w:hAnsi="Times New Roman"/>
      </w:rPr>
    </w:pPr>
    <w:r>
      <w:rPr>
        <w:rFonts w:ascii="Times New Roman" w:hAnsi="Times New Roman"/>
      </w:rPr>
      <mc:AlternateContent>
        <mc:Choice Requires="wps">
          <w:drawing>
            <wp:anchor distT="0" distB="0" distL="114300" distR="114300" simplePos="0" relativeHeight="251658240" behindDoc="0" locked="0" layoutInCell="1" allowOverlap="1">
              <wp:simplePos x="0" y="0"/>
              <wp:positionH relativeFrom="column">
                <wp:posOffset>13545820</wp:posOffset>
              </wp:positionH>
              <wp:positionV relativeFrom="paragraph">
                <wp:posOffset>-5715</wp:posOffset>
              </wp:positionV>
              <wp:extent cx="409575" cy="771525"/>
              <wp:effectExtent l="4445" t="4445" r="5080" b="5080"/>
              <wp:wrapNone/>
              <wp:docPr id="15" name="文本框 77"/>
              <wp:cNvGraphicFramePr/>
              <a:graphic xmlns:a="http://schemas.openxmlformats.org/drawingml/2006/main">
                <a:graphicData uri="http://schemas.microsoft.com/office/word/2010/wordprocessingShape">
                  <wps:wsp xmlns:wps="http://schemas.microsoft.com/office/word/2010/wordprocessingShape">
                    <wps:cNvSpPr txBox="1"/>
                    <wps:spPr>
                      <a:xfrm>
                        <a:off x="0" y="0"/>
                        <a:ext cx="409575" cy="771525"/>
                      </a:xfrm>
                      <a:prstGeom prst="rect">
                        <a:avLst/>
                      </a:prstGeom>
                      <a:solidFill>
                        <a:srgbClr val="5A5A5A"/>
                      </a:solidFill>
                      <a:ln w="9525">
                        <a:solidFill>
                          <a:srgbClr val="000000"/>
                        </a:solidFill>
                        <a:prstDash val="solid"/>
                        <a:miter lim="0"/>
                      </a:ln>
                    </wps:spPr>
                    <wps:txbx>
                      <w:txbxContent>
                        <w:p/>
                      </w:txbxContent>
                    </wps:txbx>
                    <wps:bodyPr wrap="square" upright="1"/>
                  </wps:wsp>
                </a:graphicData>
              </a:graphic>
            </wp:anchor>
          </w:drawing>
        </mc:Choice>
        <mc:Fallback>
          <w:pict>
            <v:shapetype id="_x0000_t202" coordsize="21600,21600" o:spt="202" path="m,l,21600r21600,l21600,xe">
              <v:stroke joinstyle="miter"/>
              <v:path gradientshapeok="t" o:connecttype="rect"/>
            </v:shapetype>
            <v:shape id="文本框 77" o:spid="_x0000_s2067" type="#_x0000_t202" style="width:32.25pt;height:60.75pt;margin-top:-0.45pt;margin-left:1066.6pt;mso-height-relative:page;mso-width-relative:page;position:absolute;z-index:251659264" coordsize="21600,21600" filled="t" fillcolor="#5a5a5a" stroked="t" strokecolor="black">
              <v:stroke joinstyle="miter"/>
              <o:lock v:ext="edit" aspectratio="f"/>
              <v:textbox>
                <w:txbxContent>
                  <w:p w14:paraId="4645A740"/>
                </w:txbxContent>
              </v:textbox>
            </v:shape>
          </w:pict>
        </mc:Fallback>
      </mc:AlternateContent>
    </w:r>
    <w:r>
      <w:rPr>
        <w:rFonts w:ascii="Times New Roman" w:hAnsi="Times New Roman" w:hint="eastAsia"/>
      </w:rPr>
      <w:t>试题</w:t>
    </w:r>
    <w:r>
      <w:rPr>
        <w:rFonts w:ascii="Times New Roman" w:hAnsi="Times New Roman"/>
      </w:rPr>
      <w:t xml:space="preserve"> 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instrText>2</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页（共</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SECTIONPAGES </w:instrText>
    </w:r>
    <w:r>
      <w:rPr>
        <w:rFonts w:ascii="Times New Roman" w:hAnsi="Times New Roman"/>
      </w:rPr>
      <w:fldChar w:fldCharType="separate"/>
    </w:r>
    <w:r>
      <w:rPr>
        <w:rFonts w:ascii="Times New Roman" w:hAnsi="Times New Roman"/>
      </w:rPr>
      <w:instrText>3</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t xml:space="preserve">页）                                                                                    </w:t>
    </w:r>
    <w:r>
      <w:rPr>
        <w:rFonts w:ascii="Times New Roman" w:hAnsi="Times New Roman" w:hint="eastAsia"/>
      </w:rPr>
      <w:t xml:space="preserve">  </w:t>
    </w:r>
    <w:r>
      <w:rPr>
        <w:rFonts w:ascii="Times New Roman" w:hAnsi="Times New Roman"/>
      </w:rPr>
      <w:t xml:space="preserve"> 试题 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instrText>2</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t>页（共</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SECTIONPAGES </w:instrText>
    </w:r>
    <w:r>
      <w:rPr>
        <w:rFonts w:ascii="Times New Roman" w:hAnsi="Times New Roman"/>
      </w:rPr>
      <w:fldChar w:fldCharType="separate"/>
    </w:r>
    <w:r>
      <w:rPr>
        <w:rFonts w:ascii="Times New Roman" w:hAnsi="Times New Roman"/>
      </w:rPr>
      <w:instrText>3</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BDC2D63">
    <w:pPr>
      <w:pStyle w:val="Footer"/>
      <w:ind w:firstLine="3780" w:firstLineChars="2100"/>
      <w:rPr>
        <w:rFonts w:ascii="Times New Roman" w:hAnsi="Times New Roman"/>
      </w:rPr>
    </w:pPr>
    <w:r>
      <w:rPr>
        <w:rFonts w:ascii="Times New Roman" w:hAnsi="Times New Roman"/>
      </w:rPr>
      <w:t>试题 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instrText>1</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页（共</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SECTIONPAGES </w:instrText>
    </w:r>
    <w:r>
      <w:rPr>
        <w:rFonts w:ascii="Times New Roman" w:hAnsi="Times New Roman"/>
      </w:rPr>
      <w:fldChar w:fldCharType="separate"/>
    </w:r>
    <w:r>
      <w:rPr>
        <w:rFonts w:ascii="Times New Roman" w:hAnsi="Times New Roman"/>
      </w:rPr>
      <w:instrText>3</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t xml:space="preserve">页）                                                                                         </w:t>
    </w:r>
    <w:r>
      <w:rPr>
        <w:rFonts w:ascii="Times New Roman" w:hAnsi="Times New Roman" w:hint="eastAsia"/>
      </w:rPr>
      <w:t xml:space="preserve">  </w:t>
    </w:r>
    <w:r>
      <w:rPr>
        <w:rFonts w:ascii="Times New Roman" w:hAnsi="Times New Roman"/>
      </w:rPr>
      <w:t xml:space="preserve"> 试题 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instrText>1</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页（共</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SECTIONPAGES </w:instrText>
    </w:r>
    <w:r>
      <w:rPr>
        <w:rFonts w:ascii="Times New Roman" w:hAnsi="Times New Roman"/>
      </w:rPr>
      <w:fldChar w:fldCharType="separate"/>
    </w:r>
    <w:r>
      <w:rPr>
        <w:rFonts w:ascii="Times New Roman" w:hAnsi="Times New Roman"/>
      </w:rPr>
      <w:instrText>3</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t>页）</w:t>
    </w:r>
  </w:p>
  <w:p w14:paraId="730FDB34">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68" type="#_x0000_t136" alt="学科网 zxxk.com" style="width:2.85pt;height:2.85pt;margin-top:407.9pt;margin-left:158.95pt;mso-height-relative:page;mso-position-horizontal-relative:margin;mso-position-vertical-relative:margin;mso-width-relative:page;position:absolute;rotation:315;z-index:-251656192"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69" type="#_x0000_t75" alt="学科网 zxxk.com" style="width:0.05pt;height:0.05pt;margin-top:-20.75pt;margin-left:64.05pt;mso-height-relative:page;mso-width-relative:page;position:absolute;z-index:251661312" coordsize="21600,21600" o:preferrelative="t" filled="f" stroked="f">
          <v:stroke joinstyle="miter"/>
          <v:imagedata r:id="rId1" o:title=""/>
          <o:lock v:ext="edit" aspectratio="t"/>
        </v:shape>
      </w:pict>
    </w:r>
    <w:r>
      <w:rPr>
        <w:rFonts w:ascii="Times New Roman" w:hAnsi="Times New Roman" w:hint="eastAsia"/>
        <w:color w:val="FFFFFF"/>
        <w:kern w:val="0"/>
        <w:sz w:val="2"/>
        <w:szCs w:val="2"/>
      </w:rPr>
      <w:t>学科网（北京）股份有限公司</w:t>
    </w: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70"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71" type="#_x0000_t75" alt="学科网 zxxk.com" style="width:0.05pt;height:0.05pt;margin-top:-20.75pt;margin-left:64.05pt;position:absolute;z-index:251663360"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5E8D6C83">
    <w:r>
      <w:drawing>
        <wp:inline distT="0" distB="0" distL="114300" distR="114300">
          <wp:extent cx="2076450" cy="184150"/>
          <wp:effectExtent l="0" t="0" r="0" b="6350"/>
          <wp:docPr id="24" name="图片 24" descr="学易金卷-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学易金卷-A3"/>
                  <pic:cNvPicPr>
                    <a:picLocks noChangeAspect="1"/>
                  </pic:cNvPicPr>
                </pic:nvPicPr>
                <pic:blipFill>
                  <a:blip xmlns:r="http://schemas.openxmlformats.org/officeDocument/2006/relationships" r:embed="rId1"/>
                  <a:stretch>
                    <a:fillRect/>
                  </a:stretch>
                </pic:blipFill>
                <pic:spPr>
                  <a:xfrm>
                    <a:off x="0" y="0"/>
                    <a:ext cx="2076450" cy="184150"/>
                  </a:xfrm>
                  <a:prstGeom prst="rect">
                    <a:avLst/>
                  </a:prstGeom>
                </pic:spPr>
              </pic:pic>
            </a:graphicData>
          </a:graphic>
        </wp:inline>
      </w:drawing>
    </w:r>
    <w:r>
      <mc:AlternateContent>
        <mc:Choice Requires="wpg">
          <w:drawing>
            <wp:anchor distT="0" distB="0" distL="114300" distR="114300" simplePos="0" relativeHeight="251664384" behindDoc="0" locked="0" layoutInCell="1" allowOverlap="1">
              <wp:simplePos x="0" y="0"/>
              <wp:positionH relativeFrom="column">
                <wp:posOffset>13545820</wp:posOffset>
              </wp:positionH>
              <wp:positionV relativeFrom="paragraph">
                <wp:posOffset>-213360</wp:posOffset>
              </wp:positionV>
              <wp:extent cx="819150" cy="10677525"/>
              <wp:effectExtent l="4445" t="4445" r="14605" b="5080"/>
              <wp:wrapNone/>
              <wp:docPr id="22" name="组合 78"/>
              <wp:cNvGraphicFramePr/>
              <a:graphic xmlns:a="http://schemas.openxmlformats.org/drawingml/2006/main">
                <a:graphicData uri="http://schemas.microsoft.com/office/word/2010/wordprocessingGroup">
                  <wpg:wgp xmlns:wpg="http://schemas.microsoft.com/office/word/2010/wordprocessingGroup">
                    <wpg:cNvGrpSpPr/>
                    <wpg:grpSpPr>
                      <a:xfrm>
                        <a:off x="0" y="0"/>
                        <a:ext cx="819150" cy="10677525"/>
                        <a:chOff x="22466" y="5"/>
                        <a:chExt cx="1290" cy="16815"/>
                      </a:xfrm>
                    </wpg:grpSpPr>
                    <wps:wsp xmlns:wps="http://schemas.microsoft.com/office/word/2010/wordprocessingShape">
                      <wps:cNvPr id="20" name="文本框 73"/>
                      <wps:cNvSpPr txBox="1"/>
                      <wps:spPr>
                        <a:xfrm>
                          <a:off x="23111" y="5"/>
                          <a:ext cx="645" cy="16815"/>
                        </a:xfrm>
                        <a:prstGeom prst="rect">
                          <a:avLst/>
                        </a:prstGeom>
                        <a:solidFill>
                          <a:srgbClr val="FFFFFF"/>
                        </a:solidFill>
                        <a:ln w="9525">
                          <a:solidFill>
                            <a:srgbClr val="000000"/>
                          </a:solidFill>
                          <a:prstDash val="solid"/>
                          <a:miter lim="0"/>
                        </a:ln>
                      </wps:spPr>
                      <wps:txbx>
                        <w:txbxContent>
                          <w:p>
                            <w:pPr>
                              <w:rPr>
                                <w:spacing w:val="13"/>
                              </w:rPr>
                            </w:pPr>
                            <w:r>
                              <w:rPr>
                                <w:rFonts w:hint="eastAsia"/>
                                <w:spacing w:val="13"/>
                              </w:rPr>
                              <w:t>………………○………………外………………○………………装………………○………………订………………○………………</w:t>
                            </w:r>
                            <w:r>
                              <w:rPr>
                                <w:spacing w:val="13"/>
                              </w:rPr>
                              <w:t>线</w:t>
                            </w:r>
                            <w:r>
                              <w:rPr>
                                <w:rFonts w:hint="eastAsia"/>
                                <w:spacing w:val="13"/>
                              </w:rPr>
                              <w:t>………………○………………</w:t>
                            </w:r>
                          </w:p>
                        </w:txbxContent>
                      </wps:txbx>
                      <wps:bodyPr vert="vert" wrap="square" upright="1"/>
                    </wps:wsp>
                    <wps:wsp xmlns:wps="http://schemas.microsoft.com/office/word/2010/wordprocessingShape">
                      <wps:cNvPr id="21" name="文本框 76"/>
                      <wps:cNvSpPr txBox="1"/>
                      <wps:spPr>
                        <a:xfrm>
                          <a:off x="22466" y="5"/>
                          <a:ext cx="645" cy="1110"/>
                        </a:xfrm>
                        <a:prstGeom prst="rect">
                          <a:avLst/>
                        </a:prstGeom>
                        <a:solidFill>
                          <a:srgbClr val="5A5A5A"/>
                        </a:solidFill>
                        <a:ln w="9525">
                          <a:solidFill>
                            <a:srgbClr val="000000"/>
                          </a:solidFill>
                          <a:prstDash val="solid"/>
                          <a:miter lim="0"/>
                        </a:ln>
                      </wps:spPr>
                      <wps:txbx>
                        <w:txbxContent>
                          <w:p/>
                        </w:txbxContent>
                      </wps:txbx>
                      <wps:bodyPr wrap="square" upright="1"/>
                    </wps:wsp>
                  </wpg:wgp>
                </a:graphicData>
              </a:graphic>
            </wp:anchor>
          </w:drawing>
        </mc:Choice>
        <mc:Fallback>
          <w:pict>
            <v:group id="组合 78" o:spid="_x0000_s2049" style="width:64.5pt;height:840.75pt;margin-top:-16.8pt;margin-left:1066.6pt;mso-height-relative:page;mso-width-relative:page;position:absolute;z-index:251665408" coordorigin="22466,5" coordsize="1290,16815">
              <o:lock v:ext="edit" aspectratio="f"/>
              <v:shapetype id="_x0000_t202" coordsize="21600,21600" o:spt="202" path="m,l,21600r21600,l21600,xe">
                <v:stroke joinstyle="miter"/>
                <v:path gradientshapeok="t" o:connecttype="rect"/>
              </v:shapetype>
              <v:shape id="文本框 73" o:spid="_x0000_s2050" type="#_x0000_t202" style="width:645;height:16815;left:23111;position:absolute;top:5" coordsize="21600,21600" filled="t" fillcolor="white" stroked="t" strokecolor="black">
                <v:stroke joinstyle="miter"/>
                <o:lock v:ext="edit" aspectratio="f"/>
                <v:textbox style="layout-flow:vertical">
                  <w:txbxContent>
                    <w:p w14:paraId="57872167">
                      <w:pPr>
                        <w:rPr>
                          <w:spacing w:val="13"/>
                        </w:rPr>
                      </w:pPr>
                      <w:r>
                        <w:rPr>
                          <w:rFonts w:hint="eastAsia"/>
                          <w:spacing w:val="13"/>
                        </w:rPr>
                        <w:t>………………○………………外………………○………………装………………○………………订………………○………………</w:t>
                      </w:r>
                      <w:r>
                        <w:rPr>
                          <w:spacing w:val="13"/>
                        </w:rPr>
                        <w:t>线</w:t>
                      </w:r>
                      <w:r>
                        <w:rPr>
                          <w:rFonts w:hint="eastAsia"/>
                          <w:spacing w:val="13"/>
                        </w:rPr>
                        <w:t>………………○………………</w:t>
                      </w:r>
                    </w:p>
                  </w:txbxContent>
                </v:textbox>
              </v:shape>
              <v:shape id="文本框 76" o:spid="_x0000_s2051" type="#_x0000_t202" style="width:645;height:1110;left:22466;position:absolute;top:5" coordsize="21600,21600" filled="t" fillcolor="#5a5a5a" stroked="t" strokecolor="black">
                <v:stroke joinstyle="miter"/>
                <o:lock v:ext="edit" aspectratio="f"/>
                <v:textbox>
                  <w:txbxContent>
                    <w:p w14:paraId="06A97DDC"/>
                  </w:txbxContent>
                </v:textbox>
              </v:shape>
            </v:group>
          </w:pict>
        </mc:Fallback>
      </mc:AlternateContent>
    </w:r>
    <w:r>
      <mc:AlternateContent>
        <mc:Choice Requires="wpg">
          <w:drawing>
            <wp:anchor distT="0" distB="0" distL="114300" distR="114300" simplePos="0" relativeHeight="251660288" behindDoc="0" locked="0" layoutInCell="1" allowOverlap="1">
              <wp:simplePos x="0" y="0"/>
              <wp:positionH relativeFrom="column">
                <wp:posOffset>13136245</wp:posOffset>
              </wp:positionH>
              <wp:positionV relativeFrom="paragraph">
                <wp:posOffset>-203835</wp:posOffset>
              </wp:positionV>
              <wp:extent cx="409575" cy="10677525"/>
              <wp:effectExtent l="4445" t="4445" r="5080" b="5080"/>
              <wp:wrapNone/>
              <wp:docPr id="17" name="组合 79"/>
              <wp:cNvGraphicFramePr/>
              <a:graphic xmlns:a="http://schemas.openxmlformats.org/drawingml/2006/main">
                <a:graphicData uri="http://schemas.microsoft.com/office/word/2010/wordprocessingGroup">
                  <wpg:wgp xmlns:wpg="http://schemas.microsoft.com/office/word/2010/wordprocessingGroup">
                    <wpg:cNvGrpSpPr/>
                    <wpg:grpSpPr>
                      <a:xfrm>
                        <a:off x="0" y="0"/>
                        <a:ext cx="409575" cy="10677525"/>
                        <a:chOff x="21821" y="5"/>
                        <a:chExt cx="645" cy="16815"/>
                      </a:xfrm>
                    </wpg:grpSpPr>
                    <wps:wsp xmlns:wps="http://schemas.microsoft.com/office/word/2010/wordprocessingShape">
                      <wps:cNvPr id="16" name="文本框 74"/>
                      <wps:cNvSpPr txBox="1"/>
                      <wps:spPr>
                        <a:xfrm>
                          <a:off x="21821" y="5"/>
                          <a:ext cx="645" cy="16815"/>
                        </a:xfrm>
                        <a:prstGeom prst="rect">
                          <a:avLst/>
                        </a:prstGeom>
                        <a:solidFill>
                          <a:srgbClr val="FFFFFF"/>
                        </a:solidFill>
                        <a:ln w="9525">
                          <a:solidFill>
                            <a:srgbClr val="000000"/>
                          </a:solidFill>
                          <a:prstDash val="solid"/>
                          <a:miter lim="0"/>
                        </a:ln>
                      </wps:spPr>
                      <wps:txbx>
                        <w:txbxContent>
                          <w:p>
                            <w:pPr>
                              <w:rPr>
                                <w:spacing w:val="13"/>
                              </w:rPr>
                            </w:pPr>
                            <w:r>
                              <w:rPr>
                                <w:rFonts w:hint="eastAsia"/>
                                <w:spacing w:val="13"/>
                              </w:rPr>
                              <w:t>………………○………………内………………○………………装………………○………………订………………○………………</w:t>
                            </w:r>
                            <w:r>
                              <w:rPr>
                                <w:spacing w:val="13"/>
                              </w:rPr>
                              <w:t>线</w:t>
                            </w:r>
                            <w:r>
                              <w:rPr>
                                <w:rFonts w:hint="eastAsia"/>
                                <w:spacing w:val="13"/>
                              </w:rPr>
                              <w:t>………………○………………</w:t>
                            </w:r>
                          </w:p>
                        </w:txbxContent>
                      </wps:txbx>
                      <wps:bodyPr vert="vert" wrap="square" upright="1"/>
                    </wps:wsp>
                  </wpg:wgp>
                </a:graphicData>
              </a:graphic>
            </wp:anchor>
          </w:drawing>
        </mc:Choice>
        <mc:Fallback>
          <w:pict>
            <v:group id="组合 79" o:spid="_x0000_s2052" style="width:32.25pt;height:840.75pt;margin-top:-16.05pt;margin-left:1034.35pt;mso-height-relative:page;mso-width-relative:page;position:absolute;z-index:251661312" coordorigin="21821,5" coordsize="645,16815">
              <o:lock v:ext="edit" aspectratio="f"/>
              <v:shape id="文本框 74" o:spid="_x0000_s2053" type="#_x0000_t202" style="width:645;height:16815;left:21821;position:absolute;top:5" coordsize="21600,21600" filled="t" fillcolor="white" stroked="t" strokecolor="black">
                <v:stroke joinstyle="miter"/>
                <o:lock v:ext="edit" aspectratio="f"/>
                <v:textbox style="layout-flow:vertical">
                  <w:txbxContent>
                    <w:p w14:paraId="5B05B321">
                      <w:pPr>
                        <w:rPr>
                          <w:spacing w:val="13"/>
                        </w:rPr>
                      </w:pPr>
                      <w:r>
                        <w:rPr>
                          <w:rFonts w:hint="eastAsia"/>
                          <w:spacing w:val="13"/>
                        </w:rPr>
                        <w:t>………………○………………内………………○………………装………………○………………订………………○………………</w:t>
                      </w:r>
                      <w:r>
                        <w:rPr>
                          <w:spacing w:val="13"/>
                        </w:rPr>
                        <w:t>线</w:t>
                      </w:r>
                      <w:r>
                        <w:rPr>
                          <w:rFonts w:hint="eastAsia"/>
                          <w:spacing w:val="13"/>
                        </w:rPr>
                        <w:t>………………○………………</w:t>
                      </w:r>
                    </w:p>
                  </w:txbxContent>
                </v:textbox>
              </v:shape>
            </v:group>
          </w:pict>
        </mc:Fallback>
      </mc:AlternateContent>
    </w:r>
    <w:r>
      <mc:AlternateContent>
        <mc:Choice Requires="wpg">
          <w:drawing>
            <wp:anchor distT="0" distB="0" distL="114300" distR="114300" simplePos="0" relativeHeight="251662336" behindDoc="0" locked="0" layoutInCell="1" allowOverlap="1">
              <wp:simplePos x="0" y="0"/>
              <wp:positionH relativeFrom="column">
                <wp:posOffset>13545820</wp:posOffset>
              </wp:positionH>
              <wp:positionV relativeFrom="paragraph">
                <wp:posOffset>501015</wp:posOffset>
              </wp:positionV>
              <wp:extent cx="409575" cy="9191625"/>
              <wp:effectExtent l="4445" t="4445" r="5080" b="5080"/>
              <wp:wrapNone/>
              <wp:docPr id="19" name="组合 80"/>
              <wp:cNvGraphicFramePr/>
              <a:graphic xmlns:a="http://schemas.openxmlformats.org/drawingml/2006/main">
                <a:graphicData uri="http://schemas.microsoft.com/office/word/2010/wordprocessingGroup">
                  <wpg:wgp xmlns:wpg="http://schemas.microsoft.com/office/word/2010/wordprocessingGroup">
                    <wpg:cNvGrpSpPr/>
                    <wpg:grpSpPr>
                      <a:xfrm>
                        <a:off x="0" y="0"/>
                        <a:ext cx="409575" cy="9191625"/>
                        <a:chOff x="22466" y="1115"/>
                        <a:chExt cx="645" cy="14475"/>
                      </a:xfrm>
                    </wpg:grpSpPr>
                    <wps:wsp xmlns:wps="http://schemas.microsoft.com/office/word/2010/wordprocessingShape">
                      <wps:cNvPr id="18" name="文本框 75"/>
                      <wps:cNvSpPr txBox="1"/>
                      <wps:spPr>
                        <a:xfrm>
                          <a:off x="22466" y="1115"/>
                          <a:ext cx="645" cy="14475"/>
                        </a:xfrm>
                        <a:prstGeom prst="rect">
                          <a:avLst/>
                        </a:prstGeom>
                        <a:solidFill>
                          <a:srgbClr val="D8D8D8"/>
                        </a:solidFill>
                        <a:ln w="9525">
                          <a:solidFill>
                            <a:srgbClr val="000000"/>
                          </a:solidFill>
                          <a:prstDash val="solid"/>
                          <a:miter lim="0"/>
                        </a:ln>
                      </wps:spPr>
                      <wps:txbx>
                        <w:txbxContent>
                          <w:p>
                            <w:pPr>
                              <w:ind w:firstLine="840" w:firstLineChars="400"/>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wps:txbx>
                      <wps:bodyPr vert="vert" wrap="square" upright="1"/>
                    </wps:wsp>
                  </wpg:wgp>
                </a:graphicData>
              </a:graphic>
            </wp:anchor>
          </w:drawing>
        </mc:Choice>
        <mc:Fallback>
          <w:pict>
            <v:group id="组合 80" o:spid="_x0000_s2054" style="width:32.25pt;height:723.75pt;margin-top:39.45pt;margin-left:1066.6pt;mso-height-relative:page;mso-width-relative:page;position:absolute;z-index:251663360" coordorigin="22466,1115" coordsize="645,14475">
              <o:lock v:ext="edit" aspectratio="f"/>
              <v:shape id="文本框 75" o:spid="_x0000_s2055" type="#_x0000_t202" style="width:645;height:14475;left:22466;position:absolute;top:1115" coordsize="21600,21600" filled="t" fillcolor="#d8d8d8" stroked="t" strokecolor="black">
                <v:stroke joinstyle="miter"/>
                <o:lock v:ext="edit" aspectratio="f"/>
                <v:textbox style="layout-flow:vertical">
                  <w:txbxContent>
                    <w:p w14:paraId="2792A0F4">
                      <w:pPr>
                        <w:ind w:firstLine="840" w:firstLineChars="400"/>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CB0A650">
    <w:pPr>
      <w:jc w:val="right"/>
    </w:pPr>
    <w:r>
      <w:drawing>
        <wp:inline distT="0" distB="0" distL="114300" distR="114300">
          <wp:extent cx="2076450" cy="184150"/>
          <wp:effectExtent l="0" t="0" r="0" b="6350"/>
          <wp:docPr id="23" name="图片 23" descr="学易金卷-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学易金卷-A3"/>
                  <pic:cNvPicPr>
                    <a:picLocks noChangeAspect="1"/>
                  </pic:cNvPicPr>
                </pic:nvPicPr>
                <pic:blipFill>
                  <a:blip xmlns:r="http://schemas.openxmlformats.org/officeDocument/2006/relationships" r:embed="rId1"/>
                  <a:stretch>
                    <a:fillRect/>
                  </a:stretch>
                </pic:blipFill>
                <pic:spPr>
                  <a:xfrm>
                    <a:off x="0" y="0"/>
                    <a:ext cx="2076450" cy="184150"/>
                  </a:xfrm>
                  <a:prstGeom prst="rect">
                    <a:avLst/>
                  </a:prstGeom>
                </pic:spPr>
              </pic:pic>
            </a:graphicData>
          </a:graphic>
        </wp:inline>
      </w:drawing>
    </w:r>
    <w:r>
      <mc:AlternateContent>
        <mc:Choice Requires="wpg">
          <w:drawing>
            <wp:anchor distT="0" distB="0" distL="114300" distR="114300" simplePos="0" relativeHeight="251658240" behindDoc="0" locked="0" layoutInCell="1" allowOverlap="1">
              <wp:simplePos x="0" y="0"/>
              <wp:positionH relativeFrom="column">
                <wp:posOffset>-1582420</wp:posOffset>
              </wp:positionH>
              <wp:positionV relativeFrom="paragraph">
                <wp:posOffset>-207010</wp:posOffset>
              </wp:positionV>
              <wp:extent cx="1228725" cy="10677525"/>
              <wp:effectExtent l="4445" t="4445" r="5080" b="5080"/>
              <wp:wrapNone/>
              <wp:docPr id="14" name="组合 70"/>
              <wp:cNvGraphicFramePr/>
              <a:graphic xmlns:a="http://schemas.openxmlformats.org/drawingml/2006/main">
                <a:graphicData uri="http://schemas.microsoft.com/office/word/2010/wordprocessingGroup">
                  <wpg:wgp xmlns:wpg="http://schemas.microsoft.com/office/word/2010/wordprocessingGroup">
                    <wpg:cNvGrpSpPr/>
                    <wpg:grpSpPr>
                      <a:xfrm>
                        <a:off x="0" y="0"/>
                        <a:ext cx="1228725" cy="10677525"/>
                        <a:chOff x="60" y="30"/>
                        <a:chExt cx="1935" cy="16815"/>
                      </a:xfrm>
                    </wpg:grpSpPr>
                    <wpg:grpSp>
                      <wpg:cNvPr id="12" name="组合 69"/>
                      <wpg:cNvGrpSpPr/>
                      <wpg:grpSpPr>
                        <a:xfrm>
                          <a:off x="60" y="30"/>
                          <a:ext cx="1935" cy="16815"/>
                          <a:chOff x="60" y="30"/>
                          <a:chExt cx="1935" cy="16815"/>
                        </a:xfrm>
                      </wpg:grpSpPr>
                      <wps:wsp xmlns:wps="http://schemas.microsoft.com/office/word/2010/wordprocessingShape">
                        <wps:cNvPr id="8" name="文本框 63"/>
                        <wps:cNvSpPr txBox="1"/>
                        <wps:spPr>
                          <a:xfrm>
                            <a:off x="1350" y="30"/>
                            <a:ext cx="645" cy="16815"/>
                          </a:xfrm>
                          <a:prstGeom prst="rect">
                            <a:avLst/>
                          </a:prstGeom>
                          <a:solidFill>
                            <a:srgbClr val="FFFFFF"/>
                          </a:solidFill>
                          <a:ln w="9525">
                            <a:solidFill>
                              <a:srgbClr val="000000"/>
                            </a:solidFill>
                            <a:prstDash val="solid"/>
                            <a:miter lim="0"/>
                          </a:ln>
                        </wps:spPr>
                        <wps:txbx>
                          <w:txbxContent>
                            <w:p>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wps:txbx>
                        <wps:bodyPr vert="vert270" wrap="square" upright="1"/>
                      </wps:wsp>
                      <wps:wsp xmlns:wps="http://schemas.microsoft.com/office/word/2010/wordprocessingShape">
                        <wps:cNvPr id="9" name="文本框 64"/>
                        <wps:cNvSpPr txBox="1"/>
                        <wps:spPr>
                          <a:xfrm>
                            <a:off x="60" y="30"/>
                            <a:ext cx="645" cy="16815"/>
                          </a:xfrm>
                          <a:prstGeom prst="rect">
                            <a:avLst/>
                          </a:prstGeom>
                          <a:solidFill>
                            <a:srgbClr val="FFFFFF"/>
                          </a:solidFill>
                          <a:ln w="9525">
                            <a:solidFill>
                              <a:srgbClr val="000000"/>
                            </a:solidFill>
                            <a:prstDash val="solid"/>
                            <a:miter lim="0"/>
                          </a:ln>
                        </wps:spPr>
                        <wps:txbx>
                          <w:txbxContent>
                            <w:p>
                              <w:pPr>
                                <w:rPr>
                                  <w:spacing w:val="13"/>
                                </w:rPr>
                              </w:pPr>
                              <w:r>
                                <w:rPr>
                                  <w:rFonts w:hint="eastAsia"/>
                                  <w:spacing w:val="13"/>
                                </w:rPr>
                                <w:t>………………○………………外………………○………………装………………○………………订………………○………………</w:t>
                              </w:r>
                              <w:r>
                                <w:rPr>
                                  <w:spacing w:val="13"/>
                                </w:rPr>
                                <w:t>线</w:t>
                              </w:r>
                              <w:r>
                                <w:rPr>
                                  <w:rFonts w:hint="eastAsia"/>
                                  <w:spacing w:val="13"/>
                                </w:rPr>
                                <w:t>………………○………………</w:t>
                              </w:r>
                            </w:p>
                          </w:txbxContent>
                        </wps:txbx>
                        <wps:bodyPr vert="vert270" wrap="square" upright="1"/>
                      </wps:wsp>
                      <wps:wsp xmlns:wps="http://schemas.microsoft.com/office/word/2010/wordprocessingShape">
                        <wps:cNvPr id="10" name="文本框 65"/>
                        <wps:cNvSpPr txBox="1"/>
                        <wps:spPr>
                          <a:xfrm>
                            <a:off x="705" y="1140"/>
                            <a:ext cx="645" cy="14475"/>
                          </a:xfrm>
                          <a:prstGeom prst="rect">
                            <a:avLst/>
                          </a:prstGeom>
                          <a:solidFill>
                            <a:srgbClr val="D8D8D8"/>
                          </a:solidFill>
                          <a:ln w="9525">
                            <a:solidFill>
                              <a:srgbClr val="000000"/>
                            </a:solidFill>
                            <a:prstDash val="solid"/>
                            <a:miter lim="0"/>
                          </a:ln>
                        </wps:spPr>
                        <wps:txbx>
                          <w:txbxContent>
                            <w:p>
                              <w:pPr>
                                <w:rPr>
                                  <w:rFonts w:ascii="Times New Roman" w:hAnsi="Times New Roman"/>
                                  <w:spacing w:val="13"/>
                                </w:rPr>
                              </w:pPr>
                              <w:r>
                                <w:rPr>
                                  <w:rFonts w:ascii="Times New Roman" w:hAnsi="Times New Roman"/>
                                  <w:spacing w:val="13"/>
                                </w:rPr>
                                <w:t>…             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wps:txbx>
                        <wps:bodyPr vert="vert270" wrap="square" upright="1"/>
                      </wps:wsp>
                      <wps:wsp xmlns:wps="http://schemas.microsoft.com/office/word/2010/wordprocessingShape">
                        <wps:cNvPr id="11" name="文本框 67"/>
                        <wps:cNvSpPr txBox="1"/>
                        <wps:spPr>
                          <a:xfrm>
                            <a:off x="705" y="30"/>
                            <a:ext cx="645" cy="1110"/>
                          </a:xfrm>
                          <a:prstGeom prst="rect">
                            <a:avLst/>
                          </a:prstGeom>
                          <a:solidFill>
                            <a:srgbClr val="5A5A5A"/>
                          </a:solidFill>
                          <a:ln w="9525">
                            <a:solidFill>
                              <a:srgbClr val="000000"/>
                            </a:solidFill>
                            <a:prstDash val="solid"/>
                            <a:miter lim="0"/>
                          </a:ln>
                        </wps:spPr>
                        <wps:txbx>
                          <w:txbxContent>
                            <w:p/>
                          </w:txbxContent>
                        </wps:txbx>
                        <wps:bodyPr wrap="square" upright="1"/>
                      </wps:wsp>
                    </wpg:grpSp>
                    <wps:wsp xmlns:wps="http://schemas.microsoft.com/office/word/2010/wordprocessingShape">
                      <wps:cNvPr id="13" name="文本框 68"/>
                      <wps:cNvSpPr txBox="1"/>
                      <wps:spPr>
                        <a:xfrm>
                          <a:off x="705" y="15630"/>
                          <a:ext cx="645" cy="1215"/>
                        </a:xfrm>
                        <a:prstGeom prst="rect">
                          <a:avLst/>
                        </a:prstGeom>
                        <a:solidFill>
                          <a:srgbClr val="5A5A5A"/>
                        </a:solidFill>
                        <a:ln w="9525">
                          <a:solidFill>
                            <a:srgbClr val="000000"/>
                          </a:solidFill>
                          <a:prstDash val="solid"/>
                          <a:miter lim="0"/>
                        </a:ln>
                      </wps:spPr>
                      <wps:txbx>
                        <w:txbxContent>
                          <w:p/>
                        </w:txbxContent>
                      </wps:txbx>
                      <wps:bodyPr wrap="square" upright="1"/>
                    </wps:wsp>
                  </wpg:wgp>
                </a:graphicData>
              </a:graphic>
            </wp:anchor>
          </w:drawing>
        </mc:Choice>
        <mc:Fallback>
          <w:pict>
            <v:group id="组合 70" o:spid="_x0000_s2056" style="width:96.75pt;height:840.75pt;margin-top:-16.3pt;margin-left:-124.6pt;mso-height-relative:page;mso-width-relative:page;position:absolute;z-index:251659264" coordorigin="60,30" coordsize="1935,16815">
              <o:lock v:ext="edit" aspectratio="f"/>
              <v:group id="组合 69" o:spid="_x0000_s2057" style="width:1935;height:16815;left:60;position:absolute;top:30" coordorigin="60,30" coordsize="1935,16815">
                <o:lock v:ext="edit" aspectratio="f"/>
                <v:shapetype id="_x0000_t202" coordsize="21600,21600" o:spt="202" path="m,l,21600r21600,l21600,xe">
                  <v:stroke joinstyle="miter"/>
                  <v:path gradientshapeok="t" o:connecttype="rect"/>
                </v:shapetype>
                <v:shape id="文本框 63" o:spid="_x0000_s2058" type="#_x0000_t202" style="width:645;height:16815;left:1350;position:absolute;top:30" coordsize="21600,21600" filled="t" fillcolor="white" stroked="t" strokecolor="black">
                  <v:stroke joinstyle="miter"/>
                  <o:lock v:ext="edit" aspectratio="f"/>
                  <v:textbox style="layout-flow:vertical;mso-layout-flow-alt:bottom-to-top">
                    <w:txbxContent>
                      <w:p w14:paraId="22866766">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2059" type="#_x0000_t202" style="width:645;height:16815;left:60;position:absolute;top:30" coordsize="21600,21600" filled="t" fillcolor="white" stroked="t" strokecolor="black">
                  <v:stroke joinstyle="miter"/>
                  <o:lock v:ext="edit" aspectratio="f"/>
                  <v:textbox style="layout-flow:vertical;mso-layout-flow-alt:bottom-to-top">
                    <w:txbxContent>
                      <w:p w14:paraId="7395468B">
                        <w:pPr>
                          <w:rPr>
                            <w:spacing w:val="13"/>
                          </w:rPr>
                        </w:pPr>
                        <w:r>
                          <w:rPr>
                            <w:rFonts w:hint="eastAsia"/>
                            <w:spacing w:val="13"/>
                          </w:rPr>
                          <w:t>………………○………………外………………○………………装………………○………………订………………○………………</w:t>
                        </w:r>
                        <w:r>
                          <w:rPr>
                            <w:spacing w:val="13"/>
                          </w:rPr>
                          <w:t>线</w:t>
                        </w:r>
                        <w:r>
                          <w:rPr>
                            <w:rFonts w:hint="eastAsia"/>
                            <w:spacing w:val="13"/>
                          </w:rPr>
                          <w:t>………………○………………</w:t>
                        </w:r>
                      </w:p>
                    </w:txbxContent>
                  </v:textbox>
                </v:shape>
                <v:shape id="文本框 65" o:spid="_x0000_s2060" type="#_x0000_t202" style="width:645;height:14475;left:705;position:absolute;top:1140" coordsize="21600,21600" filled="t" fillcolor="#d8d8d8" stroked="t" strokecolor="black">
                  <v:stroke joinstyle="miter"/>
                  <o:lock v:ext="edit" aspectratio="f"/>
                  <v:textbox style="layout-flow:vertical;mso-layout-flow-alt:bottom-to-top">
                    <w:txbxContent>
                      <w:p w14:paraId="343DBE4F">
                        <w:pPr>
                          <w:rPr>
                            <w:rFonts w:ascii="Times New Roman" w:hAnsi="Times New Roman"/>
                            <w:spacing w:val="13"/>
                          </w:rPr>
                        </w:pPr>
                        <w:r>
                          <w:rPr>
                            <w:rFonts w:ascii="Times New Roman" w:hAnsi="Times New Roman"/>
                            <w:spacing w:val="13"/>
                          </w:rPr>
                          <w:t>…             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2061" type="#_x0000_t202" style="width:645;height:1110;left:705;position:absolute;top:30" coordsize="21600,21600" filled="t" fillcolor="#5a5a5a" stroked="t" strokecolor="black">
                  <v:stroke joinstyle="miter"/>
                  <o:lock v:ext="edit" aspectratio="f"/>
                  <v:textbox>
                    <w:txbxContent>
                      <w:p w14:paraId="01EBC48F"/>
                    </w:txbxContent>
                  </v:textbox>
                </v:shape>
              </v:group>
              <v:shape id="文本框 68" o:spid="_x0000_s2062" type="#_x0000_t202" style="width:645;height:1215;left:705;position:absolute;top:15630" coordsize="21600,21600" filled="t" fillcolor="#5a5a5a" stroked="t" strokecolor="black">
                <v:stroke joinstyle="miter"/>
                <o:lock v:ext="edit" aspectratio="f"/>
                <v:textbox>
                  <w:txbxContent>
                    <w:p w14:paraId="1A359D3C"/>
                  </w:txbxContent>
                </v:textbox>
              </v:shape>
            </v:group>
          </w:pict>
        </mc:Fallback>
      </mc:AlternateContent>
    </w:r>
  </w:p>
  <w:p w14:paraId="6B098113">
    <w:pPr>
      <w:pBdr>
        <w:bottom w:val="none" w:sz="0" w:space="1" w:color="auto"/>
      </w:pBdr>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63" type="#_x0000_t75" alt="学科网 zxxk.com" style="width:0.75pt;height:0.75pt;margin-top:8.45pt;margin-left:351pt;mso-height-relative:page;mso-width-relative:page;position:absolute;z-index:251666432"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64"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hAnsi="Times New Roman"/>
        <w:kern w:val="0"/>
        <w:sz w:val="2"/>
        <w:szCs w:val="2"/>
      </w:rPr>
    </w:pPr>
    <w:r>
      <w:pict>
        <v:shape id="图片 4" o:spid="_x0000_s2065" type="#_x0000_t75" alt="学科网 zxxk.com" style="width:0.75pt;height:0.75pt;margin-top:8.45pt;margin-left:351pt;position:absolute;z-index:251667456" filled="f" stroked="f">
          <v:imagedata r:id="rId2" r:href="rId3" o:title=""/>
          <v:path o:extrusionok="f"/>
          <o:lock v:ext="edit" aspectratio="t"/>
        </v:shape>
      </w:pict>
    </w:r>
    <w:r>
      <w:rPr>
        <w:rFonts w:hint="eastAsia"/>
        <w:color w:val="FFFFFF"/>
        <w:sz w:val="2"/>
        <w:szCs w:val="2"/>
      </w:rPr>
      <w:pict>
        <v:shape id="_x0000_i2066"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nsid w:val="FFFFFF7F"/>
    <w:multiLevelType w:val="singleLevel"/>
    <w:tmpl w:val="FFFFFF7F"/>
    <w:lvl w:ilvl="0">
      <w:start w:val="1"/>
      <w:numFmt w:val="decimal"/>
      <w:pStyle w:val="ListNumber2"/>
      <w:lvlText w:val="%1."/>
      <w:lvlJc w:val="left"/>
      <w:pPr>
        <w:tabs>
          <w:tab w:val="left" w:pos="780"/>
        </w:tabs>
        <w:ind w:left="780" w:hanging="360"/>
      </w:pPr>
    </w:lvl>
  </w:abstractNum>
  <w:abstractNum w:abstractNumId="4">
    <w:nsid w:val="FFFFFF80"/>
    <w:multiLevelType w:val="singleLevel"/>
    <w:tmpl w:val="FFFFFF80"/>
    <w:lvl w:ilvl="0">
      <w:start w:val="1"/>
      <w:numFmt w:val="bullet"/>
      <w:pStyle w:val="ListBullet5"/>
      <w:lvlText w:val=""/>
      <w:lvlJc w:val="left"/>
      <w:pPr>
        <w:tabs>
          <w:tab w:val="left" w:pos="2040"/>
        </w:tabs>
        <w:ind w:left="2040" w:hanging="360"/>
      </w:pPr>
      <w:rPr>
        <w:rFonts w:ascii="Wingdings" w:hAnsi="Wingdings" w:hint="default"/>
      </w:rPr>
    </w:lvl>
  </w:abstractNum>
  <w:abstractNum w:abstractNumId="5">
    <w:nsid w:val="FFFFFF81"/>
    <w:multiLevelType w:val="singleLevel"/>
    <w:tmpl w:val="FFFFFF81"/>
    <w:lvl w:ilvl="0">
      <w:start w:val="1"/>
      <w:numFmt w:val="bullet"/>
      <w:pStyle w:val="ListBullet4"/>
      <w:lvlText w:val=""/>
      <w:lvlJc w:val="left"/>
      <w:pPr>
        <w:tabs>
          <w:tab w:val="left" w:pos="1620"/>
        </w:tabs>
        <w:ind w:left="1620" w:hanging="360"/>
      </w:pPr>
      <w:rPr>
        <w:rFonts w:ascii="Wingdings" w:hAnsi="Wingdings" w:hint="default"/>
      </w:rPr>
    </w:lvl>
  </w:abstractNum>
  <w:abstractNum w:abstractNumId="6">
    <w:nsid w:val="FFFFFF82"/>
    <w:multiLevelType w:val="singleLevel"/>
    <w:tmpl w:val="FFFFFF82"/>
    <w:lvl w:ilvl="0">
      <w:start w:val="1"/>
      <w:numFmt w:val="bullet"/>
      <w:pStyle w:val="ListBullet3"/>
      <w:lvlText w:val=""/>
      <w:lvlJc w:val="left"/>
      <w:pPr>
        <w:tabs>
          <w:tab w:val="left" w:pos="1200"/>
        </w:tabs>
        <w:ind w:left="1200" w:hanging="360"/>
      </w:pPr>
      <w:rPr>
        <w:rFonts w:ascii="Wingdings" w:hAnsi="Wingdings" w:hint="default"/>
      </w:rPr>
    </w:lvl>
  </w:abstractNum>
  <w:abstractNum w:abstractNumId="7">
    <w:nsid w:val="FFFFFF83"/>
    <w:multiLevelType w:val="singleLevel"/>
    <w:tmpl w:val="FFFFFF83"/>
    <w:lvl w:ilvl="0">
      <w:start w:val="1"/>
      <w:numFmt w:val="bullet"/>
      <w:pStyle w:val="ListBullet2"/>
      <w:lvlText w:val=""/>
      <w:lvlJc w:val="left"/>
      <w:pPr>
        <w:tabs>
          <w:tab w:val="left" w:pos="780"/>
        </w:tabs>
        <w:ind w:left="780" w:hanging="360"/>
      </w:pPr>
      <w:rPr>
        <w:rFonts w:ascii="Wingdings" w:hAnsi="Wingdings" w:hint="default"/>
      </w:rPr>
    </w:lvl>
  </w:abstractNum>
  <w:abstractNum w:abstractNumId="8">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nsid w:val="FFFFFF89"/>
    <w:multiLevelType w:val="singleLevel"/>
    <w:tmpl w:val="FFFFFF89"/>
    <w:lvl w:ilvl="0">
      <w:start w:val="1"/>
      <w:numFmt w:val="bullet"/>
      <w:pStyle w:val="ListBullet"/>
      <w:lvlText w:val=""/>
      <w:lvlJc w:val="left"/>
      <w:pPr>
        <w:tabs>
          <w:tab w:val="left" w:pos="360"/>
        </w:tabs>
        <w:ind w:left="360" w:hanging="360"/>
      </w:pPr>
      <w:rPr>
        <w:rFonts w:ascii="Wingdings" w:hAnsi="Wingdings" w:hint="default"/>
      </w:rPr>
    </w:lvl>
  </w:abstractNum>
  <w:abstractNum w:abstractNumId="10">
    <w:nsid w:val="2FBE0400"/>
    <w:multiLevelType w:val="singleLevel"/>
    <w:tmpl w:val="2FBE0400"/>
    <w:lvl w:ilvl="0">
      <w:start w:val="2"/>
      <w:numFmt w:val="chineseCounting"/>
      <w:suff w:val="nothing"/>
      <w:lvlText w:val="%1、"/>
      <w:lvlJc w:val="left"/>
      <w:rPr>
        <w:rFonts w:hint="eastAsia"/>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TrueTypeFonts/>
  <w:saveSubsetFonts/>
  <w:mirrorMargins/>
  <w:bordersDoNotSurroundHeader/>
  <w:bordersDoNotSurroundFooter/>
  <w:defaultTabStop w:val="231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E42"/>
    <w:rsid w:val="00000451"/>
    <w:rsid w:val="0000125F"/>
    <w:rsid w:val="0000154A"/>
    <w:rsid w:val="0000163D"/>
    <w:rsid w:val="00002A1D"/>
    <w:rsid w:val="000042A8"/>
    <w:rsid w:val="00004BD7"/>
    <w:rsid w:val="000058DD"/>
    <w:rsid w:val="000063F2"/>
    <w:rsid w:val="000120CF"/>
    <w:rsid w:val="0001622A"/>
    <w:rsid w:val="000166EE"/>
    <w:rsid w:val="00016873"/>
    <w:rsid w:val="00023220"/>
    <w:rsid w:val="000253FC"/>
    <w:rsid w:val="000254E1"/>
    <w:rsid w:val="00030C5C"/>
    <w:rsid w:val="000315AF"/>
    <w:rsid w:val="00033092"/>
    <w:rsid w:val="000354A0"/>
    <w:rsid w:val="00037045"/>
    <w:rsid w:val="00040A7C"/>
    <w:rsid w:val="00042027"/>
    <w:rsid w:val="00043A89"/>
    <w:rsid w:val="00046A02"/>
    <w:rsid w:val="00050772"/>
    <w:rsid w:val="00050AF3"/>
    <w:rsid w:val="00052927"/>
    <w:rsid w:val="00053DD1"/>
    <w:rsid w:val="00054690"/>
    <w:rsid w:val="00054798"/>
    <w:rsid w:val="00054F56"/>
    <w:rsid w:val="000552AA"/>
    <w:rsid w:val="00062EC6"/>
    <w:rsid w:val="00063899"/>
    <w:rsid w:val="000638D4"/>
    <w:rsid w:val="00065ABA"/>
    <w:rsid w:val="00066830"/>
    <w:rsid w:val="00070431"/>
    <w:rsid w:val="00071290"/>
    <w:rsid w:val="00073395"/>
    <w:rsid w:val="00073D6D"/>
    <w:rsid w:val="00073F57"/>
    <w:rsid w:val="000767D9"/>
    <w:rsid w:val="0007705C"/>
    <w:rsid w:val="00082C15"/>
    <w:rsid w:val="00083DBD"/>
    <w:rsid w:val="00086215"/>
    <w:rsid w:val="00087980"/>
    <w:rsid w:val="00092704"/>
    <w:rsid w:val="00093326"/>
    <w:rsid w:val="000935A1"/>
    <w:rsid w:val="00097048"/>
    <w:rsid w:val="000A0F7F"/>
    <w:rsid w:val="000A13AC"/>
    <w:rsid w:val="000A4B44"/>
    <w:rsid w:val="000A679A"/>
    <w:rsid w:val="000A7A68"/>
    <w:rsid w:val="000B2275"/>
    <w:rsid w:val="000B4F35"/>
    <w:rsid w:val="000B6018"/>
    <w:rsid w:val="000B6C7C"/>
    <w:rsid w:val="000C2AA7"/>
    <w:rsid w:val="000C6DEF"/>
    <w:rsid w:val="000D2ABE"/>
    <w:rsid w:val="000D630E"/>
    <w:rsid w:val="000D66D0"/>
    <w:rsid w:val="000D6FF2"/>
    <w:rsid w:val="000D70A5"/>
    <w:rsid w:val="000E0370"/>
    <w:rsid w:val="000E05AC"/>
    <w:rsid w:val="000E1DA7"/>
    <w:rsid w:val="000E4FF9"/>
    <w:rsid w:val="000E60AB"/>
    <w:rsid w:val="000E7739"/>
    <w:rsid w:val="000E7A52"/>
    <w:rsid w:val="000F2C80"/>
    <w:rsid w:val="000F555B"/>
    <w:rsid w:val="000F63DA"/>
    <w:rsid w:val="000F7AC3"/>
    <w:rsid w:val="001026E3"/>
    <w:rsid w:val="00102E54"/>
    <w:rsid w:val="0010498F"/>
    <w:rsid w:val="00105A04"/>
    <w:rsid w:val="00111A0B"/>
    <w:rsid w:val="00112D98"/>
    <w:rsid w:val="00116A34"/>
    <w:rsid w:val="001175AD"/>
    <w:rsid w:val="00117A63"/>
    <w:rsid w:val="00123BDE"/>
    <w:rsid w:val="0012462A"/>
    <w:rsid w:val="00130740"/>
    <w:rsid w:val="0013112B"/>
    <w:rsid w:val="00133077"/>
    <w:rsid w:val="00133508"/>
    <w:rsid w:val="0013430D"/>
    <w:rsid w:val="00134334"/>
    <w:rsid w:val="0013779F"/>
    <w:rsid w:val="00137E3F"/>
    <w:rsid w:val="0014188C"/>
    <w:rsid w:val="00142502"/>
    <w:rsid w:val="00143092"/>
    <w:rsid w:val="00144CEC"/>
    <w:rsid w:val="00145671"/>
    <w:rsid w:val="0014731E"/>
    <w:rsid w:val="001475B7"/>
    <w:rsid w:val="001515B1"/>
    <w:rsid w:val="00151AF3"/>
    <w:rsid w:val="00152F66"/>
    <w:rsid w:val="001533AC"/>
    <w:rsid w:val="001559CE"/>
    <w:rsid w:val="00160CDB"/>
    <w:rsid w:val="00166B68"/>
    <w:rsid w:val="001700B1"/>
    <w:rsid w:val="001742BC"/>
    <w:rsid w:val="00175C6A"/>
    <w:rsid w:val="00177B2C"/>
    <w:rsid w:val="00182AFA"/>
    <w:rsid w:val="00183F20"/>
    <w:rsid w:val="00185344"/>
    <w:rsid w:val="00190D04"/>
    <w:rsid w:val="00194774"/>
    <w:rsid w:val="00194F72"/>
    <w:rsid w:val="00195AFE"/>
    <w:rsid w:val="00196026"/>
    <w:rsid w:val="001A0393"/>
    <w:rsid w:val="001A03E5"/>
    <w:rsid w:val="001A6899"/>
    <w:rsid w:val="001B0235"/>
    <w:rsid w:val="001B1C0B"/>
    <w:rsid w:val="001B20AC"/>
    <w:rsid w:val="001B2837"/>
    <w:rsid w:val="001B4068"/>
    <w:rsid w:val="001B48F3"/>
    <w:rsid w:val="001B4E4B"/>
    <w:rsid w:val="001B5906"/>
    <w:rsid w:val="001B5B6B"/>
    <w:rsid w:val="001B5B70"/>
    <w:rsid w:val="001B7752"/>
    <w:rsid w:val="001C2774"/>
    <w:rsid w:val="001C4B81"/>
    <w:rsid w:val="001C72B1"/>
    <w:rsid w:val="001D09A0"/>
    <w:rsid w:val="001E0D25"/>
    <w:rsid w:val="001E165B"/>
    <w:rsid w:val="001E17F7"/>
    <w:rsid w:val="001E29B6"/>
    <w:rsid w:val="001E4B29"/>
    <w:rsid w:val="001E505A"/>
    <w:rsid w:val="001E6969"/>
    <w:rsid w:val="001F0536"/>
    <w:rsid w:val="001F10D4"/>
    <w:rsid w:val="001F5CBE"/>
    <w:rsid w:val="001F6C12"/>
    <w:rsid w:val="001F7B25"/>
    <w:rsid w:val="00201D18"/>
    <w:rsid w:val="002034E8"/>
    <w:rsid w:val="00206717"/>
    <w:rsid w:val="00207590"/>
    <w:rsid w:val="002119FE"/>
    <w:rsid w:val="002128A0"/>
    <w:rsid w:val="002137C8"/>
    <w:rsid w:val="002161F7"/>
    <w:rsid w:val="00217036"/>
    <w:rsid w:val="00217256"/>
    <w:rsid w:val="0021747D"/>
    <w:rsid w:val="002202F0"/>
    <w:rsid w:val="002303B4"/>
    <w:rsid w:val="002315C6"/>
    <w:rsid w:val="00236004"/>
    <w:rsid w:val="0023700A"/>
    <w:rsid w:val="002407A5"/>
    <w:rsid w:val="002418FB"/>
    <w:rsid w:val="00242236"/>
    <w:rsid w:val="00242C46"/>
    <w:rsid w:val="00243CED"/>
    <w:rsid w:val="0024618F"/>
    <w:rsid w:val="0025123B"/>
    <w:rsid w:val="00252604"/>
    <w:rsid w:val="002527EC"/>
    <w:rsid w:val="00252DFA"/>
    <w:rsid w:val="0025354A"/>
    <w:rsid w:val="0025356D"/>
    <w:rsid w:val="0026001A"/>
    <w:rsid w:val="002620A9"/>
    <w:rsid w:val="00263C6A"/>
    <w:rsid w:val="00270F65"/>
    <w:rsid w:val="0027208C"/>
    <w:rsid w:val="002730FA"/>
    <w:rsid w:val="002746A4"/>
    <w:rsid w:val="0027546C"/>
    <w:rsid w:val="0027755A"/>
    <w:rsid w:val="002821EF"/>
    <w:rsid w:val="00283E22"/>
    <w:rsid w:val="00286A61"/>
    <w:rsid w:val="002875EB"/>
    <w:rsid w:val="00290BD6"/>
    <w:rsid w:val="00292D29"/>
    <w:rsid w:val="0029379F"/>
    <w:rsid w:val="00294023"/>
    <w:rsid w:val="00295522"/>
    <w:rsid w:val="00296276"/>
    <w:rsid w:val="002B14BF"/>
    <w:rsid w:val="002B46AB"/>
    <w:rsid w:val="002B4EF1"/>
    <w:rsid w:val="002C115B"/>
    <w:rsid w:val="002C28B8"/>
    <w:rsid w:val="002C2E88"/>
    <w:rsid w:val="002C45C3"/>
    <w:rsid w:val="002C4B55"/>
    <w:rsid w:val="002C4D1B"/>
    <w:rsid w:val="002C4E96"/>
    <w:rsid w:val="002C6021"/>
    <w:rsid w:val="002C715D"/>
    <w:rsid w:val="002D2228"/>
    <w:rsid w:val="002D38A2"/>
    <w:rsid w:val="002D3F3E"/>
    <w:rsid w:val="002D5335"/>
    <w:rsid w:val="002D63D5"/>
    <w:rsid w:val="002E00D5"/>
    <w:rsid w:val="002E0253"/>
    <w:rsid w:val="002E081B"/>
    <w:rsid w:val="002E1184"/>
    <w:rsid w:val="002E6714"/>
    <w:rsid w:val="002F6DA1"/>
    <w:rsid w:val="002F7B2E"/>
    <w:rsid w:val="00301066"/>
    <w:rsid w:val="00301254"/>
    <w:rsid w:val="00305D7D"/>
    <w:rsid w:val="003152CF"/>
    <w:rsid w:val="00321C9C"/>
    <w:rsid w:val="003224DC"/>
    <w:rsid w:val="003249AB"/>
    <w:rsid w:val="00330F09"/>
    <w:rsid w:val="003315E0"/>
    <w:rsid w:val="003333C7"/>
    <w:rsid w:val="00334809"/>
    <w:rsid w:val="00334A2C"/>
    <w:rsid w:val="00334B6B"/>
    <w:rsid w:val="0033510E"/>
    <w:rsid w:val="00336CD5"/>
    <w:rsid w:val="0033778D"/>
    <w:rsid w:val="0034177D"/>
    <w:rsid w:val="00341BBA"/>
    <w:rsid w:val="00341FB1"/>
    <w:rsid w:val="003463D9"/>
    <w:rsid w:val="0034683A"/>
    <w:rsid w:val="00347182"/>
    <w:rsid w:val="0035016A"/>
    <w:rsid w:val="00351054"/>
    <w:rsid w:val="00355495"/>
    <w:rsid w:val="00355D57"/>
    <w:rsid w:val="00357ECE"/>
    <w:rsid w:val="00361682"/>
    <w:rsid w:val="0036392A"/>
    <w:rsid w:val="00366E9E"/>
    <w:rsid w:val="00370659"/>
    <w:rsid w:val="00375ECF"/>
    <w:rsid w:val="00376B88"/>
    <w:rsid w:val="00383A17"/>
    <w:rsid w:val="0038637E"/>
    <w:rsid w:val="0039186E"/>
    <w:rsid w:val="00392152"/>
    <w:rsid w:val="003B3B99"/>
    <w:rsid w:val="003B3E91"/>
    <w:rsid w:val="003B4EF8"/>
    <w:rsid w:val="003B525E"/>
    <w:rsid w:val="003B5BB5"/>
    <w:rsid w:val="003B6848"/>
    <w:rsid w:val="003B6983"/>
    <w:rsid w:val="003C365B"/>
    <w:rsid w:val="003C463B"/>
    <w:rsid w:val="003C5080"/>
    <w:rsid w:val="003C5A5F"/>
    <w:rsid w:val="003D4378"/>
    <w:rsid w:val="003D5353"/>
    <w:rsid w:val="003E19FD"/>
    <w:rsid w:val="003E252C"/>
    <w:rsid w:val="003E46BD"/>
    <w:rsid w:val="003E6B41"/>
    <w:rsid w:val="003E6D96"/>
    <w:rsid w:val="003F0920"/>
    <w:rsid w:val="003F23FD"/>
    <w:rsid w:val="003F3203"/>
    <w:rsid w:val="003F4116"/>
    <w:rsid w:val="003F4F1B"/>
    <w:rsid w:val="003F549E"/>
    <w:rsid w:val="003F7544"/>
    <w:rsid w:val="00400480"/>
    <w:rsid w:val="0040225A"/>
    <w:rsid w:val="00410877"/>
    <w:rsid w:val="004114FA"/>
    <w:rsid w:val="00411937"/>
    <w:rsid w:val="00412CBC"/>
    <w:rsid w:val="0041394D"/>
    <w:rsid w:val="00414A46"/>
    <w:rsid w:val="004151FC"/>
    <w:rsid w:val="00415943"/>
    <w:rsid w:val="004179A1"/>
    <w:rsid w:val="00422542"/>
    <w:rsid w:val="00422A86"/>
    <w:rsid w:val="0042668F"/>
    <w:rsid w:val="00427CBE"/>
    <w:rsid w:val="004300C5"/>
    <w:rsid w:val="00431AF0"/>
    <w:rsid w:val="00435AB4"/>
    <w:rsid w:val="00436FD3"/>
    <w:rsid w:val="004373CF"/>
    <w:rsid w:val="00437F0F"/>
    <w:rsid w:val="004413A7"/>
    <w:rsid w:val="004433E0"/>
    <w:rsid w:val="00444C99"/>
    <w:rsid w:val="00447010"/>
    <w:rsid w:val="00450BD2"/>
    <w:rsid w:val="0045236B"/>
    <w:rsid w:val="004556AD"/>
    <w:rsid w:val="00456ADC"/>
    <w:rsid w:val="00457221"/>
    <w:rsid w:val="004572D0"/>
    <w:rsid w:val="00457E96"/>
    <w:rsid w:val="00467932"/>
    <w:rsid w:val="004702F0"/>
    <w:rsid w:val="00470D20"/>
    <w:rsid w:val="004710CB"/>
    <w:rsid w:val="004717B1"/>
    <w:rsid w:val="00471BC0"/>
    <w:rsid w:val="00471FCB"/>
    <w:rsid w:val="00472731"/>
    <w:rsid w:val="00472D69"/>
    <w:rsid w:val="00476EA5"/>
    <w:rsid w:val="004771DB"/>
    <w:rsid w:val="004774A7"/>
    <w:rsid w:val="00481D5E"/>
    <w:rsid w:val="00482145"/>
    <w:rsid w:val="0048270F"/>
    <w:rsid w:val="004828B6"/>
    <w:rsid w:val="004834FF"/>
    <w:rsid w:val="00484AD7"/>
    <w:rsid w:val="0048602E"/>
    <w:rsid w:val="0049080A"/>
    <w:rsid w:val="00493BA9"/>
    <w:rsid w:val="004946C8"/>
    <w:rsid w:val="00495F3D"/>
    <w:rsid w:val="004A0552"/>
    <w:rsid w:val="004A3E39"/>
    <w:rsid w:val="004A4F25"/>
    <w:rsid w:val="004B16C3"/>
    <w:rsid w:val="004B3B08"/>
    <w:rsid w:val="004B49BC"/>
    <w:rsid w:val="004B4BA7"/>
    <w:rsid w:val="004B5911"/>
    <w:rsid w:val="004B6372"/>
    <w:rsid w:val="004B652F"/>
    <w:rsid w:val="004C0B3A"/>
    <w:rsid w:val="004C3204"/>
    <w:rsid w:val="004C4CFF"/>
    <w:rsid w:val="004C56C9"/>
    <w:rsid w:val="004C5E29"/>
    <w:rsid w:val="004C6286"/>
    <w:rsid w:val="004C69D0"/>
    <w:rsid w:val="004D1A38"/>
    <w:rsid w:val="004D1D0C"/>
    <w:rsid w:val="004D3895"/>
    <w:rsid w:val="004D3E31"/>
    <w:rsid w:val="004D475E"/>
    <w:rsid w:val="004D57EF"/>
    <w:rsid w:val="004D6F40"/>
    <w:rsid w:val="004E48CC"/>
    <w:rsid w:val="004E4DDE"/>
    <w:rsid w:val="004E5293"/>
    <w:rsid w:val="004E5863"/>
    <w:rsid w:val="004E6418"/>
    <w:rsid w:val="004E75BC"/>
    <w:rsid w:val="004F420C"/>
    <w:rsid w:val="004F6A9F"/>
    <w:rsid w:val="005002CF"/>
    <w:rsid w:val="005020B1"/>
    <w:rsid w:val="005028CE"/>
    <w:rsid w:val="00505315"/>
    <w:rsid w:val="00505CE1"/>
    <w:rsid w:val="005079D2"/>
    <w:rsid w:val="00510E54"/>
    <w:rsid w:val="005135E3"/>
    <w:rsid w:val="005139DF"/>
    <w:rsid w:val="00514CA0"/>
    <w:rsid w:val="00514E88"/>
    <w:rsid w:val="005154E3"/>
    <w:rsid w:val="00515A2C"/>
    <w:rsid w:val="00516894"/>
    <w:rsid w:val="00516D52"/>
    <w:rsid w:val="005202BC"/>
    <w:rsid w:val="00520AB1"/>
    <w:rsid w:val="00521D8E"/>
    <w:rsid w:val="00523AA3"/>
    <w:rsid w:val="00523B19"/>
    <w:rsid w:val="005269ED"/>
    <w:rsid w:val="005308E3"/>
    <w:rsid w:val="0053224B"/>
    <w:rsid w:val="00540342"/>
    <w:rsid w:val="00542BF1"/>
    <w:rsid w:val="00543C12"/>
    <w:rsid w:val="00544A8B"/>
    <w:rsid w:val="00551040"/>
    <w:rsid w:val="005529D2"/>
    <w:rsid w:val="005538C6"/>
    <w:rsid w:val="005552C4"/>
    <w:rsid w:val="0055613F"/>
    <w:rsid w:val="00556607"/>
    <w:rsid w:val="005608DD"/>
    <w:rsid w:val="0056172C"/>
    <w:rsid w:val="005620CA"/>
    <w:rsid w:val="0056214D"/>
    <w:rsid w:val="00562F19"/>
    <w:rsid w:val="00563A12"/>
    <w:rsid w:val="00564545"/>
    <w:rsid w:val="0056460E"/>
    <w:rsid w:val="00567830"/>
    <w:rsid w:val="00570B81"/>
    <w:rsid w:val="00572D5B"/>
    <w:rsid w:val="00576E15"/>
    <w:rsid w:val="00582027"/>
    <w:rsid w:val="00582F89"/>
    <w:rsid w:val="0058353C"/>
    <w:rsid w:val="00583FA0"/>
    <w:rsid w:val="005917D8"/>
    <w:rsid w:val="00593194"/>
    <w:rsid w:val="00594903"/>
    <w:rsid w:val="00595BD1"/>
    <w:rsid w:val="00595D2F"/>
    <w:rsid w:val="00595ECD"/>
    <w:rsid w:val="0059685F"/>
    <w:rsid w:val="005A568D"/>
    <w:rsid w:val="005A5726"/>
    <w:rsid w:val="005A6165"/>
    <w:rsid w:val="005A66FA"/>
    <w:rsid w:val="005A71F8"/>
    <w:rsid w:val="005B05A3"/>
    <w:rsid w:val="005B1E71"/>
    <w:rsid w:val="005B3C2A"/>
    <w:rsid w:val="005B4D0A"/>
    <w:rsid w:val="005B6CD4"/>
    <w:rsid w:val="005C3D4A"/>
    <w:rsid w:val="005C4023"/>
    <w:rsid w:val="005C4CE6"/>
    <w:rsid w:val="005D1037"/>
    <w:rsid w:val="005D2978"/>
    <w:rsid w:val="005D5AFF"/>
    <w:rsid w:val="005D6978"/>
    <w:rsid w:val="005D7CD8"/>
    <w:rsid w:val="005E2457"/>
    <w:rsid w:val="005E27F6"/>
    <w:rsid w:val="005E4474"/>
    <w:rsid w:val="005E48A0"/>
    <w:rsid w:val="005E5347"/>
    <w:rsid w:val="005E6898"/>
    <w:rsid w:val="005F0CA4"/>
    <w:rsid w:val="005F0EEF"/>
    <w:rsid w:val="005F4A2B"/>
    <w:rsid w:val="005F4D2B"/>
    <w:rsid w:val="005F5F5F"/>
    <w:rsid w:val="00600DC9"/>
    <w:rsid w:val="00602471"/>
    <w:rsid w:val="00604A47"/>
    <w:rsid w:val="00605698"/>
    <w:rsid w:val="00605D8F"/>
    <w:rsid w:val="006069E3"/>
    <w:rsid w:val="006074B4"/>
    <w:rsid w:val="00607C72"/>
    <w:rsid w:val="0061117E"/>
    <w:rsid w:val="00611F69"/>
    <w:rsid w:val="00612B60"/>
    <w:rsid w:val="006149E0"/>
    <w:rsid w:val="00616C2B"/>
    <w:rsid w:val="00617771"/>
    <w:rsid w:val="00620387"/>
    <w:rsid w:val="006236A9"/>
    <w:rsid w:val="006279E2"/>
    <w:rsid w:val="00627D39"/>
    <w:rsid w:val="006351EB"/>
    <w:rsid w:val="006376E4"/>
    <w:rsid w:val="0064276A"/>
    <w:rsid w:val="00642F36"/>
    <w:rsid w:val="00645027"/>
    <w:rsid w:val="006472F6"/>
    <w:rsid w:val="00650571"/>
    <w:rsid w:val="00650FF8"/>
    <w:rsid w:val="00652140"/>
    <w:rsid w:val="00653B7B"/>
    <w:rsid w:val="00655602"/>
    <w:rsid w:val="00656527"/>
    <w:rsid w:val="006610B3"/>
    <w:rsid w:val="00661294"/>
    <w:rsid w:val="0066197B"/>
    <w:rsid w:val="00664A73"/>
    <w:rsid w:val="00667B00"/>
    <w:rsid w:val="00670733"/>
    <w:rsid w:val="00672513"/>
    <w:rsid w:val="0067494C"/>
    <w:rsid w:val="00674B0C"/>
    <w:rsid w:val="006757B5"/>
    <w:rsid w:val="00676AFA"/>
    <w:rsid w:val="00683D45"/>
    <w:rsid w:val="00684A1F"/>
    <w:rsid w:val="0068598F"/>
    <w:rsid w:val="00686195"/>
    <w:rsid w:val="006876D9"/>
    <w:rsid w:val="00687F96"/>
    <w:rsid w:val="006927C7"/>
    <w:rsid w:val="006930CB"/>
    <w:rsid w:val="006934B8"/>
    <w:rsid w:val="00695EFF"/>
    <w:rsid w:val="00697846"/>
    <w:rsid w:val="006A0464"/>
    <w:rsid w:val="006A56F6"/>
    <w:rsid w:val="006A5817"/>
    <w:rsid w:val="006A7BA0"/>
    <w:rsid w:val="006B5192"/>
    <w:rsid w:val="006B616D"/>
    <w:rsid w:val="006C2A2F"/>
    <w:rsid w:val="006C2CE4"/>
    <w:rsid w:val="006C5CD4"/>
    <w:rsid w:val="006C7856"/>
    <w:rsid w:val="006C7F8E"/>
    <w:rsid w:val="006D3B2D"/>
    <w:rsid w:val="006D3E5E"/>
    <w:rsid w:val="006D3E9F"/>
    <w:rsid w:val="006D3F6E"/>
    <w:rsid w:val="006D62E4"/>
    <w:rsid w:val="006D7750"/>
    <w:rsid w:val="006E0143"/>
    <w:rsid w:val="006E101C"/>
    <w:rsid w:val="006E17E6"/>
    <w:rsid w:val="006E18F8"/>
    <w:rsid w:val="006E1DE1"/>
    <w:rsid w:val="006E2169"/>
    <w:rsid w:val="006E3A31"/>
    <w:rsid w:val="006E524D"/>
    <w:rsid w:val="006E62AD"/>
    <w:rsid w:val="006E6672"/>
    <w:rsid w:val="006E6855"/>
    <w:rsid w:val="006F1D6D"/>
    <w:rsid w:val="006F5D98"/>
    <w:rsid w:val="00705053"/>
    <w:rsid w:val="00706B2A"/>
    <w:rsid w:val="0070702C"/>
    <w:rsid w:val="0070770A"/>
    <w:rsid w:val="007110EB"/>
    <w:rsid w:val="00711635"/>
    <w:rsid w:val="00714A59"/>
    <w:rsid w:val="00715D9E"/>
    <w:rsid w:val="007208DA"/>
    <w:rsid w:val="00720DF8"/>
    <w:rsid w:val="00723CB4"/>
    <w:rsid w:val="00724850"/>
    <w:rsid w:val="00724B0E"/>
    <w:rsid w:val="00724E08"/>
    <w:rsid w:val="00731265"/>
    <w:rsid w:val="0073334E"/>
    <w:rsid w:val="007375C6"/>
    <w:rsid w:val="00737BC4"/>
    <w:rsid w:val="00740D04"/>
    <w:rsid w:val="007455BF"/>
    <w:rsid w:val="00746081"/>
    <w:rsid w:val="00747721"/>
    <w:rsid w:val="00747A95"/>
    <w:rsid w:val="007533A9"/>
    <w:rsid w:val="00753479"/>
    <w:rsid w:val="00756662"/>
    <w:rsid w:val="00756E70"/>
    <w:rsid w:val="007576DB"/>
    <w:rsid w:val="00765EAD"/>
    <w:rsid w:val="00766824"/>
    <w:rsid w:val="007703DB"/>
    <w:rsid w:val="00770E9C"/>
    <w:rsid w:val="00771BED"/>
    <w:rsid w:val="007720F1"/>
    <w:rsid w:val="007720F3"/>
    <w:rsid w:val="00772581"/>
    <w:rsid w:val="00775015"/>
    <w:rsid w:val="00776939"/>
    <w:rsid w:val="007775D3"/>
    <w:rsid w:val="00777B57"/>
    <w:rsid w:val="00777DA7"/>
    <w:rsid w:val="00780A22"/>
    <w:rsid w:val="0078269A"/>
    <w:rsid w:val="0078448D"/>
    <w:rsid w:val="00785154"/>
    <w:rsid w:val="007874C0"/>
    <w:rsid w:val="00787C6A"/>
    <w:rsid w:val="00791D0A"/>
    <w:rsid w:val="00793203"/>
    <w:rsid w:val="007947D6"/>
    <w:rsid w:val="007967F0"/>
    <w:rsid w:val="007A0467"/>
    <w:rsid w:val="007A1324"/>
    <w:rsid w:val="007A3058"/>
    <w:rsid w:val="007A3ED0"/>
    <w:rsid w:val="007A5B90"/>
    <w:rsid w:val="007A5FF5"/>
    <w:rsid w:val="007B16A0"/>
    <w:rsid w:val="007B1775"/>
    <w:rsid w:val="007B5645"/>
    <w:rsid w:val="007B6A26"/>
    <w:rsid w:val="007B6EDB"/>
    <w:rsid w:val="007C0F2C"/>
    <w:rsid w:val="007C2049"/>
    <w:rsid w:val="007C56B1"/>
    <w:rsid w:val="007C6777"/>
    <w:rsid w:val="007D326B"/>
    <w:rsid w:val="007D33A8"/>
    <w:rsid w:val="007D65E1"/>
    <w:rsid w:val="007E760F"/>
    <w:rsid w:val="007F0B19"/>
    <w:rsid w:val="007F0F7D"/>
    <w:rsid w:val="007F15B0"/>
    <w:rsid w:val="007F26C1"/>
    <w:rsid w:val="007F347E"/>
    <w:rsid w:val="007F51D8"/>
    <w:rsid w:val="007F5C79"/>
    <w:rsid w:val="007F775D"/>
    <w:rsid w:val="008009ED"/>
    <w:rsid w:val="00801F09"/>
    <w:rsid w:val="00802185"/>
    <w:rsid w:val="0080229B"/>
    <w:rsid w:val="00803071"/>
    <w:rsid w:val="0080553B"/>
    <w:rsid w:val="00806BC0"/>
    <w:rsid w:val="00812E5D"/>
    <w:rsid w:val="0081379E"/>
    <w:rsid w:val="0081387C"/>
    <w:rsid w:val="00822139"/>
    <w:rsid w:val="008221CD"/>
    <w:rsid w:val="0082288C"/>
    <w:rsid w:val="008236F8"/>
    <w:rsid w:val="0082468A"/>
    <w:rsid w:val="00825EE6"/>
    <w:rsid w:val="0082612B"/>
    <w:rsid w:val="00831EA7"/>
    <w:rsid w:val="008341D0"/>
    <w:rsid w:val="008346A3"/>
    <w:rsid w:val="00836EE7"/>
    <w:rsid w:val="00837A25"/>
    <w:rsid w:val="00840FAF"/>
    <w:rsid w:val="0084227B"/>
    <w:rsid w:val="00843B58"/>
    <w:rsid w:val="00844E18"/>
    <w:rsid w:val="00852FC6"/>
    <w:rsid w:val="00855950"/>
    <w:rsid w:val="008559EF"/>
    <w:rsid w:val="008579F6"/>
    <w:rsid w:val="00857F6A"/>
    <w:rsid w:val="008606A7"/>
    <w:rsid w:val="00864A46"/>
    <w:rsid w:val="00867E62"/>
    <w:rsid w:val="0088309A"/>
    <w:rsid w:val="00886CD0"/>
    <w:rsid w:val="0088712D"/>
    <w:rsid w:val="00887B38"/>
    <w:rsid w:val="008902BF"/>
    <w:rsid w:val="00890477"/>
    <w:rsid w:val="00892065"/>
    <w:rsid w:val="008930AA"/>
    <w:rsid w:val="00896990"/>
    <w:rsid w:val="008A1A8A"/>
    <w:rsid w:val="008A1E2F"/>
    <w:rsid w:val="008A288E"/>
    <w:rsid w:val="008A362D"/>
    <w:rsid w:val="008A66CB"/>
    <w:rsid w:val="008B1C57"/>
    <w:rsid w:val="008B30BB"/>
    <w:rsid w:val="008B539E"/>
    <w:rsid w:val="008B61CE"/>
    <w:rsid w:val="008B6B4F"/>
    <w:rsid w:val="008C189A"/>
    <w:rsid w:val="008C2304"/>
    <w:rsid w:val="008C27F7"/>
    <w:rsid w:val="008C76AC"/>
    <w:rsid w:val="008D284C"/>
    <w:rsid w:val="008E2AA7"/>
    <w:rsid w:val="008E3C32"/>
    <w:rsid w:val="008E6F6C"/>
    <w:rsid w:val="008E7AE4"/>
    <w:rsid w:val="008F09C8"/>
    <w:rsid w:val="008F1A9C"/>
    <w:rsid w:val="008F4914"/>
    <w:rsid w:val="008F5A2A"/>
    <w:rsid w:val="008F659C"/>
    <w:rsid w:val="008F7A9B"/>
    <w:rsid w:val="008F7AA7"/>
    <w:rsid w:val="00900514"/>
    <w:rsid w:val="00901982"/>
    <w:rsid w:val="00906982"/>
    <w:rsid w:val="00915796"/>
    <w:rsid w:val="009175F2"/>
    <w:rsid w:val="009209C5"/>
    <w:rsid w:val="00921DF6"/>
    <w:rsid w:val="009221B7"/>
    <w:rsid w:val="00923708"/>
    <w:rsid w:val="0092496A"/>
    <w:rsid w:val="00926A02"/>
    <w:rsid w:val="009278D4"/>
    <w:rsid w:val="00934F4E"/>
    <w:rsid w:val="0093793B"/>
    <w:rsid w:val="00940893"/>
    <w:rsid w:val="00942F8C"/>
    <w:rsid w:val="00943CB2"/>
    <w:rsid w:val="00945A62"/>
    <w:rsid w:val="00950336"/>
    <w:rsid w:val="009504F0"/>
    <w:rsid w:val="00950CFE"/>
    <w:rsid w:val="00951413"/>
    <w:rsid w:val="00960DBA"/>
    <w:rsid w:val="00960E36"/>
    <w:rsid w:val="00961716"/>
    <w:rsid w:val="0096261E"/>
    <w:rsid w:val="00962656"/>
    <w:rsid w:val="00962776"/>
    <w:rsid w:val="00962857"/>
    <w:rsid w:val="00963E95"/>
    <w:rsid w:val="00965E7A"/>
    <w:rsid w:val="00966E13"/>
    <w:rsid w:val="00967FD0"/>
    <w:rsid w:val="00970F26"/>
    <w:rsid w:val="00971438"/>
    <w:rsid w:val="009726BB"/>
    <w:rsid w:val="009812D4"/>
    <w:rsid w:val="00981B07"/>
    <w:rsid w:val="009877CA"/>
    <w:rsid w:val="009911C5"/>
    <w:rsid w:val="00991260"/>
    <w:rsid w:val="0099207D"/>
    <w:rsid w:val="00992806"/>
    <w:rsid w:val="009933BC"/>
    <w:rsid w:val="00994A32"/>
    <w:rsid w:val="00996F31"/>
    <w:rsid w:val="00997074"/>
    <w:rsid w:val="009971E9"/>
    <w:rsid w:val="009A1584"/>
    <w:rsid w:val="009A185C"/>
    <w:rsid w:val="009A2D21"/>
    <w:rsid w:val="009A3280"/>
    <w:rsid w:val="009A3412"/>
    <w:rsid w:val="009A5C61"/>
    <w:rsid w:val="009A614A"/>
    <w:rsid w:val="009B1F39"/>
    <w:rsid w:val="009B1F64"/>
    <w:rsid w:val="009B38F0"/>
    <w:rsid w:val="009B63DD"/>
    <w:rsid w:val="009C3ED4"/>
    <w:rsid w:val="009C4986"/>
    <w:rsid w:val="009C4C34"/>
    <w:rsid w:val="009C76A7"/>
    <w:rsid w:val="009C76C0"/>
    <w:rsid w:val="009D0CA1"/>
    <w:rsid w:val="009D3612"/>
    <w:rsid w:val="009D39E5"/>
    <w:rsid w:val="009D6DFD"/>
    <w:rsid w:val="009F1266"/>
    <w:rsid w:val="00A004EC"/>
    <w:rsid w:val="00A02ED9"/>
    <w:rsid w:val="00A05393"/>
    <w:rsid w:val="00A060BB"/>
    <w:rsid w:val="00A06F2E"/>
    <w:rsid w:val="00A06FCF"/>
    <w:rsid w:val="00A157B7"/>
    <w:rsid w:val="00A15B0C"/>
    <w:rsid w:val="00A15EA9"/>
    <w:rsid w:val="00A2001B"/>
    <w:rsid w:val="00A22418"/>
    <w:rsid w:val="00A24772"/>
    <w:rsid w:val="00A272C2"/>
    <w:rsid w:val="00A32CD6"/>
    <w:rsid w:val="00A35905"/>
    <w:rsid w:val="00A36769"/>
    <w:rsid w:val="00A379D5"/>
    <w:rsid w:val="00A409B5"/>
    <w:rsid w:val="00A40A56"/>
    <w:rsid w:val="00A4206A"/>
    <w:rsid w:val="00A42AB5"/>
    <w:rsid w:val="00A42DC1"/>
    <w:rsid w:val="00A440B2"/>
    <w:rsid w:val="00A4666F"/>
    <w:rsid w:val="00A5651A"/>
    <w:rsid w:val="00A56ECB"/>
    <w:rsid w:val="00A578CF"/>
    <w:rsid w:val="00A57A9A"/>
    <w:rsid w:val="00A61B90"/>
    <w:rsid w:val="00A61E80"/>
    <w:rsid w:val="00A63633"/>
    <w:rsid w:val="00A701C0"/>
    <w:rsid w:val="00A71296"/>
    <w:rsid w:val="00A7344B"/>
    <w:rsid w:val="00A73565"/>
    <w:rsid w:val="00A73F13"/>
    <w:rsid w:val="00A74CEF"/>
    <w:rsid w:val="00A760C3"/>
    <w:rsid w:val="00A805FF"/>
    <w:rsid w:val="00A92DC0"/>
    <w:rsid w:val="00A9323D"/>
    <w:rsid w:val="00A934A7"/>
    <w:rsid w:val="00A94EE4"/>
    <w:rsid w:val="00A955C8"/>
    <w:rsid w:val="00A9582D"/>
    <w:rsid w:val="00A96F9F"/>
    <w:rsid w:val="00AA29CB"/>
    <w:rsid w:val="00AA6D27"/>
    <w:rsid w:val="00AB00F6"/>
    <w:rsid w:val="00AB1DF9"/>
    <w:rsid w:val="00AB7E4F"/>
    <w:rsid w:val="00AC0BC0"/>
    <w:rsid w:val="00AC132B"/>
    <w:rsid w:val="00AC1A5E"/>
    <w:rsid w:val="00AC32E0"/>
    <w:rsid w:val="00AC5B21"/>
    <w:rsid w:val="00AC77CA"/>
    <w:rsid w:val="00AD0850"/>
    <w:rsid w:val="00AD26DB"/>
    <w:rsid w:val="00AD372B"/>
    <w:rsid w:val="00AD6BB2"/>
    <w:rsid w:val="00AD7078"/>
    <w:rsid w:val="00AD7CEA"/>
    <w:rsid w:val="00AE08E5"/>
    <w:rsid w:val="00AE0AD4"/>
    <w:rsid w:val="00AE0EF8"/>
    <w:rsid w:val="00AE1307"/>
    <w:rsid w:val="00AE319E"/>
    <w:rsid w:val="00AE3CBC"/>
    <w:rsid w:val="00AE57DF"/>
    <w:rsid w:val="00AE76BA"/>
    <w:rsid w:val="00AF367B"/>
    <w:rsid w:val="00B01DC3"/>
    <w:rsid w:val="00B05E00"/>
    <w:rsid w:val="00B05F51"/>
    <w:rsid w:val="00B12B67"/>
    <w:rsid w:val="00B12B9B"/>
    <w:rsid w:val="00B12BB2"/>
    <w:rsid w:val="00B1353E"/>
    <w:rsid w:val="00B15E59"/>
    <w:rsid w:val="00B160C8"/>
    <w:rsid w:val="00B23998"/>
    <w:rsid w:val="00B25744"/>
    <w:rsid w:val="00B25D4F"/>
    <w:rsid w:val="00B265AC"/>
    <w:rsid w:val="00B275FB"/>
    <w:rsid w:val="00B27DD6"/>
    <w:rsid w:val="00B30A65"/>
    <w:rsid w:val="00B35115"/>
    <w:rsid w:val="00B364E2"/>
    <w:rsid w:val="00B37A88"/>
    <w:rsid w:val="00B40793"/>
    <w:rsid w:val="00B43334"/>
    <w:rsid w:val="00B43E7E"/>
    <w:rsid w:val="00B47264"/>
    <w:rsid w:val="00B52C9C"/>
    <w:rsid w:val="00B536EE"/>
    <w:rsid w:val="00B537BF"/>
    <w:rsid w:val="00B566E2"/>
    <w:rsid w:val="00B60249"/>
    <w:rsid w:val="00B615B2"/>
    <w:rsid w:val="00B658D5"/>
    <w:rsid w:val="00B67207"/>
    <w:rsid w:val="00B70F87"/>
    <w:rsid w:val="00B716C3"/>
    <w:rsid w:val="00B72EE0"/>
    <w:rsid w:val="00B73043"/>
    <w:rsid w:val="00B74148"/>
    <w:rsid w:val="00B770F6"/>
    <w:rsid w:val="00B7757E"/>
    <w:rsid w:val="00B80298"/>
    <w:rsid w:val="00B80AD9"/>
    <w:rsid w:val="00B84315"/>
    <w:rsid w:val="00B85E42"/>
    <w:rsid w:val="00B87876"/>
    <w:rsid w:val="00B90B8A"/>
    <w:rsid w:val="00B95373"/>
    <w:rsid w:val="00B95920"/>
    <w:rsid w:val="00BA0169"/>
    <w:rsid w:val="00BA01C0"/>
    <w:rsid w:val="00BA0FB4"/>
    <w:rsid w:val="00BA3C59"/>
    <w:rsid w:val="00BA6551"/>
    <w:rsid w:val="00BA6EDE"/>
    <w:rsid w:val="00BB09EA"/>
    <w:rsid w:val="00BB1C0E"/>
    <w:rsid w:val="00BB4D48"/>
    <w:rsid w:val="00BB5F1D"/>
    <w:rsid w:val="00BB5FAC"/>
    <w:rsid w:val="00BB76AA"/>
    <w:rsid w:val="00BB77C7"/>
    <w:rsid w:val="00BC0C2E"/>
    <w:rsid w:val="00BC1C03"/>
    <w:rsid w:val="00BC2A7D"/>
    <w:rsid w:val="00BC3376"/>
    <w:rsid w:val="00BC3C84"/>
    <w:rsid w:val="00BC48D1"/>
    <w:rsid w:val="00BC5EB8"/>
    <w:rsid w:val="00BC70E9"/>
    <w:rsid w:val="00BC76A0"/>
    <w:rsid w:val="00BC7C7F"/>
    <w:rsid w:val="00BC7E41"/>
    <w:rsid w:val="00BD3779"/>
    <w:rsid w:val="00BD4B73"/>
    <w:rsid w:val="00BD52DB"/>
    <w:rsid w:val="00BE1652"/>
    <w:rsid w:val="00BE3AC1"/>
    <w:rsid w:val="00BE3E32"/>
    <w:rsid w:val="00BE792B"/>
    <w:rsid w:val="00BF1116"/>
    <w:rsid w:val="00BF206F"/>
    <w:rsid w:val="00BF2CBE"/>
    <w:rsid w:val="00BF3C3F"/>
    <w:rsid w:val="00BF3E83"/>
    <w:rsid w:val="00C0012E"/>
    <w:rsid w:val="00C0175A"/>
    <w:rsid w:val="00C0183F"/>
    <w:rsid w:val="00C0249F"/>
    <w:rsid w:val="00C024C9"/>
    <w:rsid w:val="00C02FC6"/>
    <w:rsid w:val="00C03EF5"/>
    <w:rsid w:val="00C041D2"/>
    <w:rsid w:val="00C04A55"/>
    <w:rsid w:val="00C04D5E"/>
    <w:rsid w:val="00C04EFE"/>
    <w:rsid w:val="00C1056D"/>
    <w:rsid w:val="00C10928"/>
    <w:rsid w:val="00C120DE"/>
    <w:rsid w:val="00C156F0"/>
    <w:rsid w:val="00C160B6"/>
    <w:rsid w:val="00C16689"/>
    <w:rsid w:val="00C216A0"/>
    <w:rsid w:val="00C2215A"/>
    <w:rsid w:val="00C22DDF"/>
    <w:rsid w:val="00C3080A"/>
    <w:rsid w:val="00C319FD"/>
    <w:rsid w:val="00C32241"/>
    <w:rsid w:val="00C323D3"/>
    <w:rsid w:val="00C338BB"/>
    <w:rsid w:val="00C461A3"/>
    <w:rsid w:val="00C461D4"/>
    <w:rsid w:val="00C50A29"/>
    <w:rsid w:val="00C50EBF"/>
    <w:rsid w:val="00C52981"/>
    <w:rsid w:val="00C52D37"/>
    <w:rsid w:val="00C54EC3"/>
    <w:rsid w:val="00C550D5"/>
    <w:rsid w:val="00C56115"/>
    <w:rsid w:val="00C56AFA"/>
    <w:rsid w:val="00C57A74"/>
    <w:rsid w:val="00C61955"/>
    <w:rsid w:val="00C61A1A"/>
    <w:rsid w:val="00C62507"/>
    <w:rsid w:val="00C62EBF"/>
    <w:rsid w:val="00C63384"/>
    <w:rsid w:val="00C6365D"/>
    <w:rsid w:val="00C63CC2"/>
    <w:rsid w:val="00C657B7"/>
    <w:rsid w:val="00C65DC8"/>
    <w:rsid w:val="00C6626E"/>
    <w:rsid w:val="00C67FDE"/>
    <w:rsid w:val="00C70F32"/>
    <w:rsid w:val="00C741F7"/>
    <w:rsid w:val="00C74788"/>
    <w:rsid w:val="00C75236"/>
    <w:rsid w:val="00C77645"/>
    <w:rsid w:val="00C802CD"/>
    <w:rsid w:val="00C80F2D"/>
    <w:rsid w:val="00C81977"/>
    <w:rsid w:val="00C82061"/>
    <w:rsid w:val="00C83BC7"/>
    <w:rsid w:val="00C84CEF"/>
    <w:rsid w:val="00C8502C"/>
    <w:rsid w:val="00C8527B"/>
    <w:rsid w:val="00C85D7B"/>
    <w:rsid w:val="00C86DEB"/>
    <w:rsid w:val="00C90AD3"/>
    <w:rsid w:val="00C90DA5"/>
    <w:rsid w:val="00C91271"/>
    <w:rsid w:val="00C926E3"/>
    <w:rsid w:val="00C92A0E"/>
    <w:rsid w:val="00C93F45"/>
    <w:rsid w:val="00C94D2D"/>
    <w:rsid w:val="00CA36E1"/>
    <w:rsid w:val="00CA4E35"/>
    <w:rsid w:val="00CA5DE9"/>
    <w:rsid w:val="00CA6726"/>
    <w:rsid w:val="00CB30E3"/>
    <w:rsid w:val="00CB4B21"/>
    <w:rsid w:val="00CB51E2"/>
    <w:rsid w:val="00CC001A"/>
    <w:rsid w:val="00CC01F9"/>
    <w:rsid w:val="00CC38BC"/>
    <w:rsid w:val="00CC40ED"/>
    <w:rsid w:val="00CC571C"/>
    <w:rsid w:val="00CC6BA9"/>
    <w:rsid w:val="00CC7B55"/>
    <w:rsid w:val="00CC7DFE"/>
    <w:rsid w:val="00CD1759"/>
    <w:rsid w:val="00CD1848"/>
    <w:rsid w:val="00CD2FF1"/>
    <w:rsid w:val="00CD5482"/>
    <w:rsid w:val="00CD6401"/>
    <w:rsid w:val="00CD735F"/>
    <w:rsid w:val="00CE006F"/>
    <w:rsid w:val="00CE020A"/>
    <w:rsid w:val="00CE223B"/>
    <w:rsid w:val="00CE2B17"/>
    <w:rsid w:val="00CE374D"/>
    <w:rsid w:val="00CE3B93"/>
    <w:rsid w:val="00CE4F25"/>
    <w:rsid w:val="00CE58ED"/>
    <w:rsid w:val="00CE67DA"/>
    <w:rsid w:val="00CE758F"/>
    <w:rsid w:val="00CE7B50"/>
    <w:rsid w:val="00CF1365"/>
    <w:rsid w:val="00CF236B"/>
    <w:rsid w:val="00CF240B"/>
    <w:rsid w:val="00CF336B"/>
    <w:rsid w:val="00CF3B75"/>
    <w:rsid w:val="00CF74D4"/>
    <w:rsid w:val="00CF7B40"/>
    <w:rsid w:val="00CF7FB6"/>
    <w:rsid w:val="00D01755"/>
    <w:rsid w:val="00D02ADC"/>
    <w:rsid w:val="00D049D9"/>
    <w:rsid w:val="00D05B4B"/>
    <w:rsid w:val="00D063C2"/>
    <w:rsid w:val="00D06733"/>
    <w:rsid w:val="00D0737D"/>
    <w:rsid w:val="00D10BEE"/>
    <w:rsid w:val="00D114FA"/>
    <w:rsid w:val="00D11C9E"/>
    <w:rsid w:val="00D1308C"/>
    <w:rsid w:val="00D14B0C"/>
    <w:rsid w:val="00D16208"/>
    <w:rsid w:val="00D16249"/>
    <w:rsid w:val="00D215E4"/>
    <w:rsid w:val="00D219D5"/>
    <w:rsid w:val="00D2263F"/>
    <w:rsid w:val="00D24EE2"/>
    <w:rsid w:val="00D2559B"/>
    <w:rsid w:val="00D3143F"/>
    <w:rsid w:val="00D330E6"/>
    <w:rsid w:val="00D33AAC"/>
    <w:rsid w:val="00D33BA9"/>
    <w:rsid w:val="00D3435C"/>
    <w:rsid w:val="00D360DA"/>
    <w:rsid w:val="00D37786"/>
    <w:rsid w:val="00D40FFB"/>
    <w:rsid w:val="00D50960"/>
    <w:rsid w:val="00D50AA6"/>
    <w:rsid w:val="00D50E9E"/>
    <w:rsid w:val="00D52746"/>
    <w:rsid w:val="00D52AB3"/>
    <w:rsid w:val="00D54318"/>
    <w:rsid w:val="00D606B1"/>
    <w:rsid w:val="00D617C5"/>
    <w:rsid w:val="00D63AED"/>
    <w:rsid w:val="00D64589"/>
    <w:rsid w:val="00D66F58"/>
    <w:rsid w:val="00D709B2"/>
    <w:rsid w:val="00D71381"/>
    <w:rsid w:val="00D7173A"/>
    <w:rsid w:val="00D721EB"/>
    <w:rsid w:val="00D7537C"/>
    <w:rsid w:val="00D75F3C"/>
    <w:rsid w:val="00D77EF4"/>
    <w:rsid w:val="00D80A25"/>
    <w:rsid w:val="00D83412"/>
    <w:rsid w:val="00D854B2"/>
    <w:rsid w:val="00D87CCE"/>
    <w:rsid w:val="00D87DFB"/>
    <w:rsid w:val="00D91325"/>
    <w:rsid w:val="00D947A1"/>
    <w:rsid w:val="00D959E9"/>
    <w:rsid w:val="00D970C3"/>
    <w:rsid w:val="00DA2982"/>
    <w:rsid w:val="00DA39B8"/>
    <w:rsid w:val="00DA4668"/>
    <w:rsid w:val="00DA5840"/>
    <w:rsid w:val="00DA7879"/>
    <w:rsid w:val="00DA7ACB"/>
    <w:rsid w:val="00DB0319"/>
    <w:rsid w:val="00DB2230"/>
    <w:rsid w:val="00DB2A7E"/>
    <w:rsid w:val="00DB470E"/>
    <w:rsid w:val="00DC0157"/>
    <w:rsid w:val="00DC260D"/>
    <w:rsid w:val="00DC271C"/>
    <w:rsid w:val="00DC2FC3"/>
    <w:rsid w:val="00DC3C54"/>
    <w:rsid w:val="00DC45E6"/>
    <w:rsid w:val="00DD0C4F"/>
    <w:rsid w:val="00DD33E8"/>
    <w:rsid w:val="00DD4110"/>
    <w:rsid w:val="00DD4D01"/>
    <w:rsid w:val="00DD5095"/>
    <w:rsid w:val="00DE0797"/>
    <w:rsid w:val="00DE1AC8"/>
    <w:rsid w:val="00DE429A"/>
    <w:rsid w:val="00DE42C9"/>
    <w:rsid w:val="00DE5D83"/>
    <w:rsid w:val="00DF1D6D"/>
    <w:rsid w:val="00DF26EA"/>
    <w:rsid w:val="00DF3954"/>
    <w:rsid w:val="00DF3C6D"/>
    <w:rsid w:val="00DF7267"/>
    <w:rsid w:val="00E0051C"/>
    <w:rsid w:val="00E00941"/>
    <w:rsid w:val="00E1186A"/>
    <w:rsid w:val="00E13A85"/>
    <w:rsid w:val="00E1448D"/>
    <w:rsid w:val="00E144EB"/>
    <w:rsid w:val="00E204CE"/>
    <w:rsid w:val="00E20E40"/>
    <w:rsid w:val="00E21A8B"/>
    <w:rsid w:val="00E2647C"/>
    <w:rsid w:val="00E32DE2"/>
    <w:rsid w:val="00E3363C"/>
    <w:rsid w:val="00E360BD"/>
    <w:rsid w:val="00E3684E"/>
    <w:rsid w:val="00E36EC7"/>
    <w:rsid w:val="00E437EF"/>
    <w:rsid w:val="00E44649"/>
    <w:rsid w:val="00E46920"/>
    <w:rsid w:val="00E47195"/>
    <w:rsid w:val="00E479EA"/>
    <w:rsid w:val="00E47F01"/>
    <w:rsid w:val="00E528E0"/>
    <w:rsid w:val="00E5716E"/>
    <w:rsid w:val="00E6173F"/>
    <w:rsid w:val="00E646D5"/>
    <w:rsid w:val="00E64B44"/>
    <w:rsid w:val="00E6614B"/>
    <w:rsid w:val="00E665BE"/>
    <w:rsid w:val="00E66885"/>
    <w:rsid w:val="00E66BA1"/>
    <w:rsid w:val="00E66F64"/>
    <w:rsid w:val="00E7014D"/>
    <w:rsid w:val="00E73A25"/>
    <w:rsid w:val="00E752F3"/>
    <w:rsid w:val="00E75428"/>
    <w:rsid w:val="00E7687E"/>
    <w:rsid w:val="00E77CFA"/>
    <w:rsid w:val="00E802E6"/>
    <w:rsid w:val="00E80532"/>
    <w:rsid w:val="00E8091D"/>
    <w:rsid w:val="00E83DED"/>
    <w:rsid w:val="00E85200"/>
    <w:rsid w:val="00E85C87"/>
    <w:rsid w:val="00E87732"/>
    <w:rsid w:val="00E87C1C"/>
    <w:rsid w:val="00E90A28"/>
    <w:rsid w:val="00E914B9"/>
    <w:rsid w:val="00E960D5"/>
    <w:rsid w:val="00EA1302"/>
    <w:rsid w:val="00EA1E0C"/>
    <w:rsid w:val="00EA51FF"/>
    <w:rsid w:val="00EA75F0"/>
    <w:rsid w:val="00EB2761"/>
    <w:rsid w:val="00EB771E"/>
    <w:rsid w:val="00EB7726"/>
    <w:rsid w:val="00EB7CC6"/>
    <w:rsid w:val="00EC0BEB"/>
    <w:rsid w:val="00EC16EE"/>
    <w:rsid w:val="00EC2219"/>
    <w:rsid w:val="00EC316F"/>
    <w:rsid w:val="00EC35CC"/>
    <w:rsid w:val="00EC3B5A"/>
    <w:rsid w:val="00EC52AB"/>
    <w:rsid w:val="00EC5BF3"/>
    <w:rsid w:val="00EC701B"/>
    <w:rsid w:val="00ED1475"/>
    <w:rsid w:val="00ED359B"/>
    <w:rsid w:val="00ED35F1"/>
    <w:rsid w:val="00ED6A48"/>
    <w:rsid w:val="00ED6A56"/>
    <w:rsid w:val="00ED6D47"/>
    <w:rsid w:val="00EE0846"/>
    <w:rsid w:val="00EE1E94"/>
    <w:rsid w:val="00EE3E3C"/>
    <w:rsid w:val="00EF05C3"/>
    <w:rsid w:val="00EF0AF3"/>
    <w:rsid w:val="00EF2E06"/>
    <w:rsid w:val="00EF50CA"/>
    <w:rsid w:val="00F01025"/>
    <w:rsid w:val="00F01674"/>
    <w:rsid w:val="00F01A2A"/>
    <w:rsid w:val="00F0338B"/>
    <w:rsid w:val="00F036C1"/>
    <w:rsid w:val="00F03F97"/>
    <w:rsid w:val="00F0465B"/>
    <w:rsid w:val="00F05DA7"/>
    <w:rsid w:val="00F05E62"/>
    <w:rsid w:val="00F061E2"/>
    <w:rsid w:val="00F07DFE"/>
    <w:rsid w:val="00F1277B"/>
    <w:rsid w:val="00F12A98"/>
    <w:rsid w:val="00F1396E"/>
    <w:rsid w:val="00F144CE"/>
    <w:rsid w:val="00F20107"/>
    <w:rsid w:val="00F20D83"/>
    <w:rsid w:val="00F223E0"/>
    <w:rsid w:val="00F22BB2"/>
    <w:rsid w:val="00F237EE"/>
    <w:rsid w:val="00F24C15"/>
    <w:rsid w:val="00F251B2"/>
    <w:rsid w:val="00F251B4"/>
    <w:rsid w:val="00F260F2"/>
    <w:rsid w:val="00F26355"/>
    <w:rsid w:val="00F272EA"/>
    <w:rsid w:val="00F32470"/>
    <w:rsid w:val="00F34B0C"/>
    <w:rsid w:val="00F35120"/>
    <w:rsid w:val="00F35CE6"/>
    <w:rsid w:val="00F35CFB"/>
    <w:rsid w:val="00F406CD"/>
    <w:rsid w:val="00F42218"/>
    <w:rsid w:val="00F46895"/>
    <w:rsid w:val="00F50461"/>
    <w:rsid w:val="00F52BE1"/>
    <w:rsid w:val="00F53267"/>
    <w:rsid w:val="00F55E37"/>
    <w:rsid w:val="00F573B2"/>
    <w:rsid w:val="00F57777"/>
    <w:rsid w:val="00F61CA2"/>
    <w:rsid w:val="00F62538"/>
    <w:rsid w:val="00F62FE6"/>
    <w:rsid w:val="00F6444F"/>
    <w:rsid w:val="00F652C5"/>
    <w:rsid w:val="00F667E0"/>
    <w:rsid w:val="00F70935"/>
    <w:rsid w:val="00F70FAB"/>
    <w:rsid w:val="00F73A76"/>
    <w:rsid w:val="00F73F46"/>
    <w:rsid w:val="00F740E1"/>
    <w:rsid w:val="00F75974"/>
    <w:rsid w:val="00F76A87"/>
    <w:rsid w:val="00F80684"/>
    <w:rsid w:val="00F82782"/>
    <w:rsid w:val="00F8417E"/>
    <w:rsid w:val="00F858AC"/>
    <w:rsid w:val="00F90230"/>
    <w:rsid w:val="00F90F9E"/>
    <w:rsid w:val="00F9493A"/>
    <w:rsid w:val="00F94CDF"/>
    <w:rsid w:val="00F96F5A"/>
    <w:rsid w:val="00FA35E1"/>
    <w:rsid w:val="00FA3A09"/>
    <w:rsid w:val="00FA3DB5"/>
    <w:rsid w:val="00FA42B6"/>
    <w:rsid w:val="00FA5132"/>
    <w:rsid w:val="00FB287D"/>
    <w:rsid w:val="00FB3138"/>
    <w:rsid w:val="00FB3E05"/>
    <w:rsid w:val="00FB680A"/>
    <w:rsid w:val="00FB6A89"/>
    <w:rsid w:val="00FC09B1"/>
    <w:rsid w:val="00FC1657"/>
    <w:rsid w:val="00FC5305"/>
    <w:rsid w:val="00FC5875"/>
    <w:rsid w:val="00FD2E36"/>
    <w:rsid w:val="00FD2E5C"/>
    <w:rsid w:val="00FD6589"/>
    <w:rsid w:val="00FD6E6F"/>
    <w:rsid w:val="00FE07A9"/>
    <w:rsid w:val="00FE1891"/>
    <w:rsid w:val="00FE20BE"/>
    <w:rsid w:val="00FE4010"/>
    <w:rsid w:val="00FE41FD"/>
    <w:rsid w:val="00FE4DD6"/>
    <w:rsid w:val="00FE5DBB"/>
    <w:rsid w:val="00FE74FE"/>
    <w:rsid w:val="00FE78D3"/>
    <w:rsid w:val="00FE7915"/>
    <w:rsid w:val="00FF02C1"/>
    <w:rsid w:val="00FF049E"/>
    <w:rsid w:val="00FF094B"/>
    <w:rsid w:val="00FF0AB0"/>
    <w:rsid w:val="00FF1BEA"/>
    <w:rsid w:val="00FF23A0"/>
    <w:rsid w:val="00FF242F"/>
    <w:rsid w:val="00FF2F79"/>
    <w:rsid w:val="00FF3DDB"/>
    <w:rsid w:val="00FF5EBF"/>
    <w:rsid w:val="01BE3604"/>
    <w:rsid w:val="033E376B"/>
    <w:rsid w:val="03EB6DCB"/>
    <w:rsid w:val="04D756AE"/>
    <w:rsid w:val="08EF4E78"/>
    <w:rsid w:val="0B2C6604"/>
    <w:rsid w:val="0D4424C2"/>
    <w:rsid w:val="110C3A8F"/>
    <w:rsid w:val="13003BF9"/>
    <w:rsid w:val="197301B8"/>
    <w:rsid w:val="1C0E7714"/>
    <w:rsid w:val="1FFC68D4"/>
    <w:rsid w:val="207648D8"/>
    <w:rsid w:val="22C30C7B"/>
    <w:rsid w:val="24365B20"/>
    <w:rsid w:val="259C0ED7"/>
    <w:rsid w:val="2B8C6904"/>
    <w:rsid w:val="2FB30E56"/>
    <w:rsid w:val="461F5FDC"/>
    <w:rsid w:val="4740402F"/>
    <w:rsid w:val="4A710D13"/>
    <w:rsid w:val="4D770B5F"/>
    <w:rsid w:val="4E676A37"/>
    <w:rsid w:val="4FA404B4"/>
    <w:rsid w:val="58D938D9"/>
    <w:rsid w:val="5B5F530E"/>
    <w:rsid w:val="6DB52C50"/>
    <w:rsid w:val="71432549"/>
    <w:rsid w:val="751D01F2"/>
    <w:rsid w:val="788F1E71"/>
    <w:rsid w:val="7A1A5E84"/>
    <w:rsid w:val="7AC21A54"/>
    <w:rsid w:val="7C7F7ED7"/>
  </w:rsids>
  <w:docVars>
    <w:docVar w:name="commondata" w:val="eyJoZGlkIjoiNjQyOTViMjg0ZmU1MTMwYzhmN2QzYzUwMGY0ZmVhOW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semiHidden="0" w:qFormat="1"/>
    <w:lsdException w:name="index 2" w:semiHidden="0" w:qFormat="1"/>
    <w:lsdException w:name="index 3" w:semiHidden="0" w:qFormat="1"/>
    <w:lsdException w:name="index 4" w:semiHidden="0" w:qFormat="1"/>
    <w:lsdException w:name="index 5" w:semiHidden="0" w:qFormat="1"/>
    <w:lsdException w:name="index 6" w:semiHidden="0" w:qFormat="1"/>
    <w:lsdException w:name="index 7" w:semiHidden="0" w:qFormat="1"/>
    <w:lsdException w:name="index 8" w:semiHidden="0" w:qFormat="1"/>
    <w:lsdException w:name="index 9" w:semiHidden="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semiHidden="0" w:qFormat="1"/>
    <w:lsdException w:name="footnote text" w:semiHidden="0" w:qFormat="1"/>
    <w:lsdException w:name="annotation text" w:semiHidden="0" w:unhideWhenUsed="0" w:qFormat="1"/>
    <w:lsdException w:name="header" w:semiHidden="0" w:qFormat="1"/>
    <w:lsdException w:name="footer" w:semiHidden="0" w:qFormat="1"/>
    <w:lsdException w:name="index heading" w:semiHidden="0" w:qFormat="1"/>
    <w:lsdException w:name="caption" w:semiHidden="0" w:uiPriority="35" w:qFormat="1"/>
    <w:lsdException w:name="table of figures" w:semiHidden="0" w:qFormat="1"/>
    <w:lsdException w:name="envelope address" w:semiHidden="0" w:qFormat="1"/>
    <w:lsdException w:name="envelope return" w:semiHidden="0" w:qFormat="1"/>
    <w:lsdException w:name="footnote reference"/>
    <w:lsdException w:name="annotation reference" w:semiHidden="0" w:unhideWhenUsed="0" w:qFormat="1"/>
    <w:lsdException w:name="line number"/>
    <w:lsdException w:name="page number"/>
    <w:lsdException w:name="endnote reference"/>
    <w:lsdException w:name="endnote text" w:semiHidden="0" w:qFormat="1"/>
    <w:lsdException w:name="table of authorities" w:semiHidden="0" w:qFormat="1"/>
    <w:lsdException w:name="macro" w:semiHidden="0" w:qFormat="1"/>
    <w:lsdException w:name="toa heading" w:semiHidden="0" w:qFormat="1"/>
    <w:lsdException w:name="List" w:semiHidden="0" w:qFormat="1"/>
    <w:lsdException w:name="List Bullet" w:semiHidden="0" w:qFormat="1"/>
    <w:lsdException w:name="List Number" w:semiHidden="0" w:qFormat="1"/>
    <w:lsdException w:name="List 2" w:semiHidden="0" w:qFormat="1"/>
    <w:lsdException w:name="List 3" w:semiHidden="0" w:qFormat="1"/>
    <w:lsdException w:name="List 4" w:semiHidden="0" w:qFormat="1"/>
    <w:lsdException w:name="List 5" w:semiHidden="0" w:qFormat="1"/>
    <w:lsdException w:name="List Bullet 2" w:semiHidden="0" w:qFormat="1"/>
    <w:lsdException w:name="List Bullet 3" w:semiHidden="0" w:qFormat="1"/>
    <w:lsdException w:name="List Bullet 4" w:semiHidden="0" w:qFormat="1"/>
    <w:lsdException w:name="List Bullet 5" w:semiHidden="0" w:qFormat="1"/>
    <w:lsdException w:name="List Number 2" w:semiHidden="0" w:qFormat="1"/>
    <w:lsdException w:name="List Number 3" w:semiHidden="0" w:qFormat="1"/>
    <w:lsdException w:name="List Number 4" w:semiHidden="0" w:qFormat="1"/>
    <w:lsdException w:name="List Number 5" w:semiHidden="0" w:qFormat="1"/>
    <w:lsdException w:name="Title" w:semiHidden="0" w:uiPriority="10" w:unhideWhenUsed="0" w:qFormat="1"/>
    <w:lsdException w:name="Closing" w:semiHidden="0" w:qFormat="1"/>
    <w:lsdException w:name="Signature" w:semiHidden="0" w:qFormat="1"/>
    <w:lsdException w:name="Default Paragraph Font" w:uiPriority="1" w:qFormat="1"/>
    <w:lsdException w:name="Body Text" w:semiHidden="0" w:uiPriority="0" w:unhideWhenUsed="0" w:qFormat="1"/>
    <w:lsdException w:name="Body Text Indent" w:semiHidden="0" w:qFormat="1"/>
    <w:lsdException w:name="List Continue" w:semiHidden="0" w:qFormat="1"/>
    <w:lsdException w:name="List Continue 2" w:semiHidden="0" w:qFormat="1"/>
    <w:lsdException w:name="List Continue 3" w:semiHidden="0" w:qFormat="1"/>
    <w:lsdException w:name="List Continue 4" w:semiHidden="0" w:qFormat="1"/>
    <w:lsdException w:name="List Continue 5" w:semiHidden="0" w:qFormat="1"/>
    <w:lsdException w:name="Message Header" w:semiHidden="0" w:qFormat="1"/>
    <w:lsdException w:name="Subtitle" w:semiHidden="0" w:uiPriority="11" w:unhideWhenUsed="0" w:qFormat="1"/>
    <w:lsdException w:name="Salutation" w:semiHidden="0" w:qFormat="1"/>
    <w:lsdException w:name="Date" w:semiHidden="0" w:qFormat="1"/>
    <w:lsdException w:name="Body Text First Indent" w:semiHidden="0" w:qFormat="1"/>
    <w:lsdException w:name="Body Text First Indent 2" w:semiHidden="0" w:qFormat="1"/>
    <w:lsdException w:name="Note Heading" w:semiHidden="0" w:qFormat="1"/>
    <w:lsdException w:name="Body Text 2" w:semiHidden="0" w:qFormat="1"/>
    <w:lsdException w:name="Body Text 3" w:semiHidden="0" w:qFormat="1"/>
    <w:lsdException w:name="Body Text Indent 2" w:semiHidden="0" w:qFormat="1"/>
    <w:lsdException w:name="Body Text Indent 3" w:semiHidden="0" w:qFormat="1"/>
    <w:lsdException w:name="Block Text" w:semiHidden="0" w:qFormat="1"/>
    <w:lsdException w:name="Hyperlink"/>
    <w:lsdException w:name="FollowedHyperlink"/>
    <w:lsdException w:name="Strong" w:semiHidden="0" w:uiPriority="22" w:unhideWhenUsed="0" w:qFormat="1"/>
    <w:lsdException w:name="Emphasis" w:semiHidden="0" w:uiPriority="20" w:unhideWhenUsed="0" w:qFormat="1"/>
    <w:lsdException w:name="Document Map" w:semiHidden="0" w:qFormat="1"/>
    <w:lsdException w:name="Plain Text" w:semiHidden="0" w:uiPriority="0" w:unhideWhenUsed="0" w:qFormat="1"/>
    <w:lsdException w:name="E-mail Signature" w:semiHidden="0" w:qFormat="1"/>
    <w:lsdException w:name="Normal (Web)" w:semiHidden="0" w:unhideWhenUsed="0" w:qFormat="1"/>
    <w:lsdException w:name="HTML Acronym"/>
    <w:lsdException w:name="HTML Address" w:semiHidden="0" w:qFormat="1"/>
    <w:lsdException w:name="HTML Cite"/>
    <w:lsdException w:name="HTML Code"/>
    <w:lsdException w:name="HTML Definition"/>
    <w:lsdException w:name="HTML Keyboard"/>
    <w:lsdException w:name="HTML Preformatted" w:semiHidden="0" w:qFormat="1"/>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
    <w:uiPriority w:val="9"/>
    <w:unhideWhenUsed/>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
    <w:uiPriority w:val="9"/>
    <w:unhideWhenUsed/>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
    <w:uiPriority w:val="9"/>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
    <w:uiPriority w:val="9"/>
    <w:unhideWhenUsed/>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
    <w:uiPriority w:val="9"/>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
    <w:uiPriority w:val="9"/>
    <w:unhideWhenUsed/>
    <w:qFormat/>
    <w:pPr>
      <w:keepNext/>
      <w:keepLines/>
      <w:spacing w:before="240" w:after="64" w:line="320" w:lineRule="auto"/>
      <w:outlineLvl w:val="7"/>
    </w:pPr>
    <w:rPr>
      <w:rFonts w:ascii="Cambria" w:hAnsi="Cambria"/>
      <w:sz w:val="24"/>
      <w:szCs w:val="24"/>
    </w:rPr>
  </w:style>
  <w:style w:type="paragraph" w:styleId="Heading9">
    <w:name w:val="heading 9"/>
    <w:basedOn w:val="Normal"/>
    <w:next w:val="Normal"/>
    <w:link w:val="9"/>
    <w:uiPriority w:val="9"/>
    <w:unhideWhenUsed/>
    <w:qFormat/>
    <w:pPr>
      <w:keepNext/>
      <w:keepLines/>
      <w:spacing w:before="240" w:after="64" w:line="320" w:lineRule="auto"/>
      <w:outlineLvl w:val="8"/>
    </w:pPr>
    <w:rPr>
      <w:rFonts w:ascii="Cambria" w:hAnsi="Cambria"/>
      <w:szCs w:val="21"/>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Macro">
    <w:name w:val="macro"/>
    <w:link w:val="a"/>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kern w:val="2"/>
      <w:sz w:val="24"/>
      <w:szCs w:val="24"/>
      <w:lang w:val="en-US" w:eastAsia="zh-CN" w:bidi="ar-SA"/>
    </w:rPr>
  </w:style>
  <w:style w:type="paragraph" w:styleId="List3">
    <w:name w:val="List 3"/>
    <w:basedOn w:val="Normal"/>
    <w:uiPriority w:val="99"/>
    <w:unhideWhenUsed/>
    <w:qFormat/>
    <w:pPr>
      <w:ind w:left="100" w:hanging="200" w:leftChars="400" w:hangingChars="200"/>
      <w:contextualSpacing/>
    </w:pPr>
  </w:style>
  <w:style w:type="paragraph" w:styleId="TOC7">
    <w:name w:val="toc 7"/>
    <w:basedOn w:val="Normal"/>
    <w:next w:val="Normal"/>
    <w:uiPriority w:val="39"/>
    <w:unhideWhenUsed/>
    <w:qFormat/>
    <w:pPr>
      <w:ind w:left="2520" w:leftChars="1200"/>
    </w:pPr>
  </w:style>
  <w:style w:type="paragraph" w:styleId="ListNumber2">
    <w:name w:val="List Number 2"/>
    <w:basedOn w:val="Normal"/>
    <w:uiPriority w:val="99"/>
    <w:unhideWhenUsed/>
    <w:qFormat/>
    <w:pPr>
      <w:numPr>
        <w:ilvl w:val="0"/>
        <w:numId w:val="1"/>
      </w:numPr>
      <w:contextualSpacing/>
    </w:pPr>
  </w:style>
  <w:style w:type="paragraph" w:styleId="TableofAuthorities">
    <w:name w:val="table of authorities"/>
    <w:basedOn w:val="Normal"/>
    <w:next w:val="Normal"/>
    <w:uiPriority w:val="99"/>
    <w:unhideWhenUsed/>
    <w:qFormat/>
    <w:pPr>
      <w:ind w:left="420" w:leftChars="200"/>
    </w:pPr>
  </w:style>
  <w:style w:type="paragraph" w:styleId="NoteHeading">
    <w:name w:val="Note Heading"/>
    <w:basedOn w:val="Normal"/>
    <w:next w:val="Normal"/>
    <w:link w:val="a0"/>
    <w:uiPriority w:val="99"/>
    <w:unhideWhenUsed/>
    <w:qFormat/>
    <w:pPr>
      <w:jc w:val="center"/>
    </w:pPr>
  </w:style>
  <w:style w:type="paragraph" w:styleId="ListBullet4">
    <w:name w:val="List Bullet 4"/>
    <w:basedOn w:val="Normal"/>
    <w:uiPriority w:val="99"/>
    <w:unhideWhenUsed/>
    <w:qFormat/>
    <w:pPr>
      <w:numPr>
        <w:ilvl w:val="0"/>
        <w:numId w:val="2"/>
      </w:numPr>
      <w:contextualSpacing/>
    </w:pPr>
  </w:style>
  <w:style w:type="paragraph" w:styleId="Index8">
    <w:name w:val="index 8"/>
    <w:basedOn w:val="Normal"/>
    <w:next w:val="Normal"/>
    <w:uiPriority w:val="99"/>
    <w:unhideWhenUsed/>
    <w:qFormat/>
    <w:pPr>
      <w:ind w:left="1400" w:leftChars="1400"/>
    </w:pPr>
  </w:style>
  <w:style w:type="paragraph" w:styleId="E-mailSignature">
    <w:name w:val="E-mail Signature"/>
    <w:basedOn w:val="Normal"/>
    <w:link w:val="a1"/>
    <w:uiPriority w:val="99"/>
    <w:unhideWhenUsed/>
    <w:qFormat/>
  </w:style>
  <w:style w:type="paragraph" w:styleId="ListNumber">
    <w:name w:val="List Number"/>
    <w:basedOn w:val="Normal"/>
    <w:uiPriority w:val="99"/>
    <w:unhideWhenUsed/>
    <w:qFormat/>
    <w:pPr>
      <w:numPr>
        <w:ilvl w:val="0"/>
        <w:numId w:val="3"/>
      </w:numPr>
      <w:contextualSpacing/>
    </w:pPr>
  </w:style>
  <w:style w:type="paragraph" w:styleId="NormalIndent">
    <w:name w:val="Normal Indent"/>
    <w:basedOn w:val="Normal"/>
    <w:uiPriority w:val="99"/>
    <w:unhideWhenUsed/>
    <w:qFormat/>
    <w:pPr>
      <w:ind w:firstLine="420" w:firstLineChars="200"/>
    </w:pPr>
  </w:style>
  <w:style w:type="paragraph" w:styleId="Caption">
    <w:name w:val="caption"/>
    <w:basedOn w:val="Normal"/>
    <w:next w:val="Normal"/>
    <w:uiPriority w:val="35"/>
    <w:unhideWhenUsed/>
    <w:qFormat/>
    <w:rPr>
      <w:rFonts w:ascii="Cambria" w:eastAsia="黑体" w:hAnsi="Cambria"/>
      <w:sz w:val="20"/>
      <w:szCs w:val="20"/>
    </w:rPr>
  </w:style>
  <w:style w:type="paragraph" w:styleId="Index5">
    <w:name w:val="index 5"/>
    <w:basedOn w:val="Normal"/>
    <w:next w:val="Normal"/>
    <w:uiPriority w:val="99"/>
    <w:unhideWhenUsed/>
    <w:qFormat/>
    <w:pPr>
      <w:ind w:left="800" w:leftChars="800"/>
    </w:pPr>
  </w:style>
  <w:style w:type="paragraph" w:styleId="ListBullet">
    <w:name w:val="List Bullet"/>
    <w:basedOn w:val="Normal"/>
    <w:uiPriority w:val="99"/>
    <w:unhideWhenUsed/>
    <w:qFormat/>
    <w:pPr>
      <w:numPr>
        <w:ilvl w:val="0"/>
        <w:numId w:val="4"/>
      </w:numPr>
      <w:contextualSpacing/>
    </w:pPr>
  </w:style>
  <w:style w:type="paragraph" w:styleId="EnvelopeAddress">
    <w:name w:val="envelope address"/>
    <w:basedOn w:val="Normal"/>
    <w:uiPriority w:val="99"/>
    <w:unhideWhenUsed/>
    <w:qFormat/>
    <w:pPr>
      <w:framePr w:w="7920" w:h="1980" w:hRule="exact" w:hSpace="180" w:wrap="auto" w:vAnchor="margin" w:hAnchor="page" w:xAlign="center" w:yAlign="bottom"/>
      <w:snapToGrid w:val="0"/>
      <w:ind w:left="100" w:leftChars="1400"/>
    </w:pPr>
    <w:rPr>
      <w:rFonts w:ascii="Cambria" w:hAnsi="Cambria"/>
      <w:sz w:val="24"/>
      <w:szCs w:val="24"/>
    </w:rPr>
  </w:style>
  <w:style w:type="paragraph" w:styleId="DocumentMap">
    <w:name w:val="Document Map"/>
    <w:basedOn w:val="Normal"/>
    <w:link w:val="a2"/>
    <w:uiPriority w:val="99"/>
    <w:unhideWhenUsed/>
    <w:qFormat/>
    <w:rPr>
      <w:rFonts w:ascii="宋体"/>
      <w:sz w:val="18"/>
      <w:szCs w:val="18"/>
    </w:rPr>
  </w:style>
  <w:style w:type="paragraph" w:styleId="TOAHeading">
    <w:name w:val="toa heading"/>
    <w:basedOn w:val="Normal"/>
    <w:next w:val="Normal"/>
    <w:uiPriority w:val="99"/>
    <w:unhideWhenUsed/>
    <w:qFormat/>
    <w:pPr>
      <w:spacing w:before="120"/>
    </w:pPr>
    <w:rPr>
      <w:rFonts w:ascii="Cambria" w:hAnsi="Cambria"/>
      <w:sz w:val="24"/>
      <w:szCs w:val="24"/>
    </w:rPr>
  </w:style>
  <w:style w:type="paragraph" w:styleId="CommentText">
    <w:name w:val="annotation text"/>
    <w:basedOn w:val="Normal"/>
    <w:link w:val="a3"/>
    <w:uiPriority w:val="99"/>
    <w:qFormat/>
    <w:pPr>
      <w:jc w:val="left"/>
    </w:pPr>
    <w:rPr>
      <w:rFonts w:ascii="Times New Roman" w:hAnsi="Times New Roman"/>
      <w:kern w:val="0"/>
      <w:sz w:val="20"/>
      <w:szCs w:val="24"/>
    </w:rPr>
  </w:style>
  <w:style w:type="paragraph" w:styleId="Index6">
    <w:name w:val="index 6"/>
    <w:basedOn w:val="Normal"/>
    <w:next w:val="Normal"/>
    <w:uiPriority w:val="99"/>
    <w:unhideWhenUsed/>
    <w:qFormat/>
    <w:pPr>
      <w:ind w:left="1000" w:leftChars="1000"/>
    </w:pPr>
  </w:style>
  <w:style w:type="paragraph" w:styleId="Salutation">
    <w:name w:val="Salutation"/>
    <w:basedOn w:val="Normal"/>
    <w:next w:val="Normal"/>
    <w:link w:val="a4"/>
    <w:uiPriority w:val="99"/>
    <w:unhideWhenUsed/>
    <w:qFormat/>
  </w:style>
  <w:style w:type="paragraph" w:styleId="BodyText3">
    <w:name w:val="Body Text 3"/>
    <w:basedOn w:val="Normal"/>
    <w:link w:val="30"/>
    <w:uiPriority w:val="99"/>
    <w:unhideWhenUsed/>
    <w:qFormat/>
    <w:pPr>
      <w:spacing w:after="120"/>
    </w:pPr>
    <w:rPr>
      <w:sz w:val="16"/>
      <w:szCs w:val="16"/>
    </w:rPr>
  </w:style>
  <w:style w:type="paragraph" w:styleId="Closing">
    <w:name w:val="Closing"/>
    <w:basedOn w:val="Normal"/>
    <w:link w:val="a5"/>
    <w:uiPriority w:val="99"/>
    <w:unhideWhenUsed/>
    <w:qFormat/>
    <w:pPr>
      <w:ind w:left="100" w:leftChars="2100"/>
    </w:pPr>
  </w:style>
  <w:style w:type="paragraph" w:styleId="ListBullet3">
    <w:name w:val="List Bullet 3"/>
    <w:basedOn w:val="Normal"/>
    <w:uiPriority w:val="99"/>
    <w:unhideWhenUsed/>
    <w:qFormat/>
    <w:pPr>
      <w:numPr>
        <w:ilvl w:val="0"/>
        <w:numId w:val="5"/>
      </w:numPr>
      <w:contextualSpacing/>
    </w:pPr>
  </w:style>
  <w:style w:type="paragraph" w:styleId="BodyText">
    <w:name w:val="Body Text"/>
    <w:basedOn w:val="Normal"/>
    <w:link w:val="a6"/>
    <w:qFormat/>
    <w:pPr>
      <w:shd w:val="clear" w:color="auto" w:fill="FFFFFF"/>
      <w:spacing w:line="405" w:lineRule="exact"/>
      <w:jc w:val="distribute"/>
    </w:pPr>
    <w:rPr>
      <w:rFonts w:ascii="宋体" w:hAnsi="Times New Roman"/>
      <w:kern w:val="0"/>
      <w:sz w:val="18"/>
      <w:szCs w:val="18"/>
    </w:rPr>
  </w:style>
  <w:style w:type="paragraph" w:styleId="BodyTextIndent">
    <w:name w:val="Body Text Indent"/>
    <w:basedOn w:val="Normal"/>
    <w:link w:val="a7"/>
    <w:uiPriority w:val="99"/>
    <w:unhideWhenUsed/>
    <w:qFormat/>
    <w:pPr>
      <w:spacing w:after="120"/>
      <w:ind w:left="420" w:leftChars="200"/>
    </w:pPr>
  </w:style>
  <w:style w:type="paragraph" w:styleId="ListNumber3">
    <w:name w:val="List Number 3"/>
    <w:basedOn w:val="Normal"/>
    <w:uiPriority w:val="99"/>
    <w:unhideWhenUsed/>
    <w:qFormat/>
    <w:pPr>
      <w:numPr>
        <w:ilvl w:val="0"/>
        <w:numId w:val="6"/>
      </w:numPr>
      <w:contextualSpacing/>
    </w:pPr>
  </w:style>
  <w:style w:type="paragraph" w:styleId="List2">
    <w:name w:val="List 2"/>
    <w:basedOn w:val="Normal"/>
    <w:uiPriority w:val="99"/>
    <w:unhideWhenUsed/>
    <w:qFormat/>
    <w:pPr>
      <w:ind w:left="100" w:hanging="200" w:leftChars="200" w:hangingChars="200"/>
      <w:contextualSpacing/>
    </w:pPr>
  </w:style>
  <w:style w:type="paragraph" w:styleId="ListContinue">
    <w:name w:val="List Continue"/>
    <w:basedOn w:val="Normal"/>
    <w:uiPriority w:val="99"/>
    <w:unhideWhenUsed/>
    <w:qFormat/>
    <w:pPr>
      <w:spacing w:after="120"/>
      <w:ind w:left="420" w:leftChars="200"/>
      <w:contextualSpacing/>
    </w:pPr>
  </w:style>
  <w:style w:type="paragraph" w:styleId="BlockText">
    <w:name w:val="Block Text"/>
    <w:basedOn w:val="Normal"/>
    <w:uiPriority w:val="99"/>
    <w:unhideWhenUsed/>
    <w:qFormat/>
    <w:pPr>
      <w:spacing w:after="120"/>
      <w:ind w:left="1440" w:right="1440" w:leftChars="700" w:rightChars="700"/>
    </w:pPr>
  </w:style>
  <w:style w:type="paragraph" w:styleId="ListBullet2">
    <w:name w:val="List Bullet 2"/>
    <w:basedOn w:val="Normal"/>
    <w:uiPriority w:val="99"/>
    <w:unhideWhenUsed/>
    <w:qFormat/>
    <w:pPr>
      <w:numPr>
        <w:ilvl w:val="0"/>
        <w:numId w:val="7"/>
      </w:numPr>
      <w:contextualSpacing/>
    </w:pPr>
  </w:style>
  <w:style w:type="paragraph" w:styleId="HTMLAddress">
    <w:name w:val="HTML Address"/>
    <w:basedOn w:val="Normal"/>
    <w:link w:val="HTML"/>
    <w:uiPriority w:val="99"/>
    <w:unhideWhenUsed/>
    <w:qFormat/>
    <w:rPr>
      <w:i/>
      <w:iCs/>
    </w:rPr>
  </w:style>
  <w:style w:type="paragraph" w:styleId="Index4">
    <w:name w:val="index 4"/>
    <w:basedOn w:val="Normal"/>
    <w:next w:val="Normal"/>
    <w:uiPriority w:val="99"/>
    <w:unhideWhenUsed/>
    <w:qFormat/>
    <w:pPr>
      <w:ind w:left="600" w:leftChars="600"/>
    </w:pPr>
  </w:style>
  <w:style w:type="paragraph" w:styleId="TOC5">
    <w:name w:val="toc 5"/>
    <w:basedOn w:val="Normal"/>
    <w:next w:val="Normal"/>
    <w:uiPriority w:val="39"/>
    <w:unhideWhenUsed/>
    <w:qFormat/>
    <w:pPr>
      <w:ind w:left="1680" w:leftChars="800"/>
    </w:pPr>
  </w:style>
  <w:style w:type="paragraph" w:styleId="TOC3">
    <w:name w:val="toc 3"/>
    <w:basedOn w:val="Normal"/>
    <w:next w:val="Normal"/>
    <w:uiPriority w:val="39"/>
    <w:unhideWhenUsed/>
    <w:qFormat/>
    <w:pPr>
      <w:ind w:left="840" w:leftChars="400"/>
    </w:pPr>
  </w:style>
  <w:style w:type="paragraph" w:styleId="PlainText">
    <w:name w:val="Plain Text"/>
    <w:basedOn w:val="Normal"/>
    <w:link w:val="a8"/>
    <w:qFormat/>
    <w:rPr>
      <w:rFonts w:ascii="宋体" w:hAnsi="Courier New"/>
      <w:kern w:val="0"/>
      <w:sz w:val="20"/>
      <w:szCs w:val="21"/>
    </w:rPr>
  </w:style>
  <w:style w:type="paragraph" w:styleId="ListBullet5">
    <w:name w:val="List Bullet 5"/>
    <w:basedOn w:val="Normal"/>
    <w:uiPriority w:val="99"/>
    <w:unhideWhenUsed/>
    <w:qFormat/>
    <w:pPr>
      <w:numPr>
        <w:ilvl w:val="0"/>
        <w:numId w:val="8"/>
      </w:numPr>
      <w:contextualSpacing/>
    </w:pPr>
  </w:style>
  <w:style w:type="paragraph" w:styleId="ListNumber4">
    <w:name w:val="List Number 4"/>
    <w:basedOn w:val="Normal"/>
    <w:uiPriority w:val="99"/>
    <w:unhideWhenUsed/>
    <w:qFormat/>
    <w:pPr>
      <w:numPr>
        <w:ilvl w:val="0"/>
        <w:numId w:val="9"/>
      </w:numPr>
      <w:contextualSpacing/>
    </w:pPr>
  </w:style>
  <w:style w:type="paragraph" w:styleId="TOC8">
    <w:name w:val="toc 8"/>
    <w:basedOn w:val="Normal"/>
    <w:next w:val="Normal"/>
    <w:uiPriority w:val="39"/>
    <w:unhideWhenUsed/>
    <w:qFormat/>
    <w:pPr>
      <w:ind w:left="2940" w:leftChars="1400"/>
    </w:pPr>
  </w:style>
  <w:style w:type="paragraph" w:styleId="Index3">
    <w:name w:val="index 3"/>
    <w:basedOn w:val="Normal"/>
    <w:next w:val="Normal"/>
    <w:uiPriority w:val="99"/>
    <w:unhideWhenUsed/>
    <w:qFormat/>
    <w:pPr>
      <w:ind w:left="400" w:leftChars="400"/>
    </w:pPr>
  </w:style>
  <w:style w:type="paragraph" w:styleId="Date">
    <w:name w:val="Date"/>
    <w:basedOn w:val="Normal"/>
    <w:next w:val="Normal"/>
    <w:link w:val="a9"/>
    <w:uiPriority w:val="99"/>
    <w:unhideWhenUsed/>
    <w:qFormat/>
    <w:pPr>
      <w:ind w:left="100" w:leftChars="2500"/>
    </w:pPr>
  </w:style>
  <w:style w:type="paragraph" w:styleId="BodyTextIndent2">
    <w:name w:val="Body Text Indent 2"/>
    <w:basedOn w:val="Normal"/>
    <w:link w:val="20"/>
    <w:uiPriority w:val="99"/>
    <w:unhideWhenUsed/>
    <w:qFormat/>
    <w:pPr>
      <w:spacing w:after="120" w:line="480" w:lineRule="auto"/>
      <w:ind w:left="420" w:leftChars="200"/>
    </w:pPr>
  </w:style>
  <w:style w:type="paragraph" w:styleId="EndnoteText">
    <w:name w:val="endnote text"/>
    <w:basedOn w:val="Normal"/>
    <w:link w:val="a10"/>
    <w:uiPriority w:val="99"/>
    <w:unhideWhenUsed/>
    <w:qFormat/>
    <w:pPr>
      <w:snapToGrid w:val="0"/>
      <w:jc w:val="left"/>
    </w:pPr>
  </w:style>
  <w:style w:type="paragraph" w:styleId="ListContinue5">
    <w:name w:val="List Continue 5"/>
    <w:basedOn w:val="Normal"/>
    <w:uiPriority w:val="99"/>
    <w:unhideWhenUsed/>
    <w:qFormat/>
    <w:pPr>
      <w:spacing w:after="120"/>
      <w:ind w:left="2100" w:leftChars="1000"/>
      <w:contextualSpacing/>
    </w:pPr>
  </w:style>
  <w:style w:type="paragraph" w:styleId="BalloonText">
    <w:name w:val="Balloon Text"/>
    <w:basedOn w:val="Normal"/>
    <w:link w:val="a11"/>
    <w:uiPriority w:val="99"/>
    <w:unhideWhenUsed/>
    <w:qFormat/>
    <w:rPr>
      <w:kern w:val="0"/>
      <w:sz w:val="18"/>
      <w:szCs w:val="18"/>
    </w:rPr>
  </w:style>
  <w:style w:type="paragraph" w:styleId="Footer">
    <w:name w:val="footer"/>
    <w:basedOn w:val="Normal"/>
    <w:link w:val="a12"/>
    <w:uiPriority w:val="99"/>
    <w:unhideWhenUsed/>
    <w:qFormat/>
    <w:pPr>
      <w:tabs>
        <w:tab w:val="center" w:pos="4153"/>
        <w:tab w:val="right" w:pos="8306"/>
      </w:tabs>
      <w:snapToGrid w:val="0"/>
      <w:jc w:val="left"/>
    </w:pPr>
    <w:rPr>
      <w:kern w:val="0"/>
      <w:sz w:val="18"/>
      <w:szCs w:val="18"/>
    </w:rPr>
  </w:style>
  <w:style w:type="paragraph" w:styleId="EnvelopeReturn">
    <w:name w:val="envelope return"/>
    <w:basedOn w:val="Normal"/>
    <w:uiPriority w:val="99"/>
    <w:unhideWhenUsed/>
    <w:qFormat/>
    <w:pPr>
      <w:snapToGrid w:val="0"/>
    </w:pPr>
    <w:rPr>
      <w:rFonts w:ascii="Cambria" w:hAnsi="Cambria"/>
    </w:rPr>
  </w:style>
  <w:style w:type="paragraph" w:styleId="Header">
    <w:name w:val="header"/>
    <w:basedOn w:val="Normal"/>
    <w:link w:val="a13"/>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Signature">
    <w:name w:val="Signature"/>
    <w:basedOn w:val="Normal"/>
    <w:link w:val="a14"/>
    <w:uiPriority w:val="99"/>
    <w:unhideWhenUsed/>
    <w:qFormat/>
    <w:pPr>
      <w:ind w:left="100" w:leftChars="2100"/>
    </w:pPr>
  </w:style>
  <w:style w:type="paragraph" w:styleId="TOC1">
    <w:name w:val="toc 1"/>
    <w:basedOn w:val="Normal"/>
    <w:next w:val="Normal"/>
    <w:uiPriority w:val="39"/>
    <w:unhideWhenUsed/>
    <w:qFormat/>
  </w:style>
  <w:style w:type="paragraph" w:styleId="ListContinue4">
    <w:name w:val="List Continue 4"/>
    <w:basedOn w:val="Normal"/>
    <w:uiPriority w:val="99"/>
    <w:unhideWhenUsed/>
    <w:qFormat/>
    <w:pPr>
      <w:spacing w:after="120"/>
      <w:ind w:left="1680" w:leftChars="800"/>
      <w:contextualSpacing/>
    </w:pPr>
  </w:style>
  <w:style w:type="paragraph" w:styleId="TOC4">
    <w:name w:val="toc 4"/>
    <w:basedOn w:val="Normal"/>
    <w:next w:val="Normal"/>
    <w:uiPriority w:val="39"/>
    <w:unhideWhenUsed/>
    <w:qFormat/>
    <w:pPr>
      <w:ind w:left="1260" w:leftChars="600"/>
    </w:pPr>
  </w:style>
  <w:style w:type="paragraph" w:styleId="IndexHeading">
    <w:name w:val="index heading"/>
    <w:basedOn w:val="Normal"/>
    <w:next w:val="Index1"/>
    <w:uiPriority w:val="99"/>
    <w:unhideWhenUsed/>
    <w:qFormat/>
    <w:rPr>
      <w:rFonts w:ascii="Cambria" w:hAnsi="Cambria"/>
      <w:b/>
      <w:bCs/>
    </w:rPr>
  </w:style>
  <w:style w:type="paragraph" w:styleId="Index1">
    <w:name w:val="index 1"/>
    <w:basedOn w:val="Normal"/>
    <w:next w:val="Normal"/>
    <w:uiPriority w:val="99"/>
    <w:unhideWhenUsed/>
    <w:qFormat/>
  </w:style>
  <w:style w:type="paragraph" w:styleId="Subtitle">
    <w:name w:val="Subtitle"/>
    <w:basedOn w:val="Normal"/>
    <w:next w:val="Normal"/>
    <w:link w:val="a15"/>
    <w:uiPriority w:val="11"/>
    <w:qFormat/>
    <w:pPr>
      <w:spacing w:before="240" w:after="60" w:line="312" w:lineRule="auto"/>
      <w:jc w:val="center"/>
      <w:outlineLvl w:val="1"/>
    </w:pPr>
    <w:rPr>
      <w:rFonts w:ascii="Cambria" w:hAnsi="Cambria"/>
      <w:b/>
      <w:bCs/>
      <w:kern w:val="28"/>
      <w:sz w:val="32"/>
      <w:szCs w:val="32"/>
    </w:rPr>
  </w:style>
  <w:style w:type="paragraph" w:styleId="ListNumber5">
    <w:name w:val="List Number 5"/>
    <w:basedOn w:val="Normal"/>
    <w:uiPriority w:val="99"/>
    <w:unhideWhenUsed/>
    <w:qFormat/>
    <w:pPr>
      <w:numPr>
        <w:ilvl w:val="0"/>
        <w:numId w:val="10"/>
      </w:numPr>
      <w:contextualSpacing/>
    </w:pPr>
  </w:style>
  <w:style w:type="paragraph" w:styleId="List">
    <w:name w:val="List"/>
    <w:basedOn w:val="Normal"/>
    <w:uiPriority w:val="99"/>
    <w:unhideWhenUsed/>
    <w:qFormat/>
    <w:pPr>
      <w:ind w:left="200" w:hanging="200" w:hangingChars="200"/>
      <w:contextualSpacing/>
    </w:pPr>
  </w:style>
  <w:style w:type="paragraph" w:styleId="FootnoteText">
    <w:name w:val="footnote text"/>
    <w:basedOn w:val="Normal"/>
    <w:link w:val="a16"/>
    <w:uiPriority w:val="99"/>
    <w:unhideWhenUsed/>
    <w:qFormat/>
    <w:pPr>
      <w:snapToGrid w:val="0"/>
      <w:jc w:val="left"/>
    </w:pPr>
    <w:rPr>
      <w:sz w:val="18"/>
      <w:szCs w:val="18"/>
    </w:rPr>
  </w:style>
  <w:style w:type="paragraph" w:styleId="TOC6">
    <w:name w:val="toc 6"/>
    <w:basedOn w:val="Normal"/>
    <w:next w:val="Normal"/>
    <w:uiPriority w:val="39"/>
    <w:unhideWhenUsed/>
    <w:qFormat/>
    <w:pPr>
      <w:ind w:left="2100" w:leftChars="1000"/>
    </w:pPr>
  </w:style>
  <w:style w:type="paragraph" w:styleId="List5">
    <w:name w:val="List 5"/>
    <w:basedOn w:val="Normal"/>
    <w:uiPriority w:val="99"/>
    <w:unhideWhenUsed/>
    <w:qFormat/>
    <w:pPr>
      <w:ind w:left="100" w:hanging="200" w:leftChars="800" w:hangingChars="200"/>
      <w:contextualSpacing/>
    </w:pPr>
  </w:style>
  <w:style w:type="paragraph" w:styleId="BodyTextIndent3">
    <w:name w:val="Body Text Indent 3"/>
    <w:basedOn w:val="Normal"/>
    <w:link w:val="31"/>
    <w:uiPriority w:val="99"/>
    <w:unhideWhenUsed/>
    <w:qFormat/>
    <w:pPr>
      <w:spacing w:after="120"/>
      <w:ind w:left="420" w:leftChars="200"/>
    </w:pPr>
    <w:rPr>
      <w:sz w:val="16"/>
      <w:szCs w:val="16"/>
    </w:rPr>
  </w:style>
  <w:style w:type="paragraph" w:styleId="Index7">
    <w:name w:val="index 7"/>
    <w:basedOn w:val="Normal"/>
    <w:next w:val="Normal"/>
    <w:uiPriority w:val="99"/>
    <w:unhideWhenUsed/>
    <w:qFormat/>
    <w:pPr>
      <w:ind w:left="1200" w:leftChars="1200"/>
    </w:pPr>
  </w:style>
  <w:style w:type="paragraph" w:styleId="Index9">
    <w:name w:val="index 9"/>
    <w:basedOn w:val="Normal"/>
    <w:next w:val="Normal"/>
    <w:uiPriority w:val="99"/>
    <w:unhideWhenUsed/>
    <w:qFormat/>
    <w:pPr>
      <w:ind w:left="1600" w:leftChars="1600"/>
    </w:pPr>
  </w:style>
  <w:style w:type="paragraph" w:styleId="TableofFigures">
    <w:name w:val="table of figures"/>
    <w:basedOn w:val="Normal"/>
    <w:next w:val="Normal"/>
    <w:uiPriority w:val="99"/>
    <w:unhideWhenUsed/>
    <w:qFormat/>
    <w:pPr>
      <w:ind w:left="200" w:hanging="200" w:leftChars="200" w:hangingChars="200"/>
    </w:pPr>
  </w:style>
  <w:style w:type="paragraph" w:styleId="TOC2">
    <w:name w:val="toc 2"/>
    <w:basedOn w:val="Normal"/>
    <w:next w:val="Normal"/>
    <w:uiPriority w:val="39"/>
    <w:unhideWhenUsed/>
    <w:qFormat/>
    <w:pPr>
      <w:ind w:left="420" w:leftChars="200"/>
    </w:pPr>
  </w:style>
  <w:style w:type="paragraph" w:styleId="TOC9">
    <w:name w:val="toc 9"/>
    <w:basedOn w:val="Normal"/>
    <w:next w:val="Normal"/>
    <w:uiPriority w:val="39"/>
    <w:unhideWhenUsed/>
    <w:qFormat/>
    <w:pPr>
      <w:ind w:left="3360" w:leftChars="1600"/>
    </w:pPr>
  </w:style>
  <w:style w:type="paragraph" w:styleId="BodyText2">
    <w:name w:val="Body Text 2"/>
    <w:basedOn w:val="Normal"/>
    <w:link w:val="21"/>
    <w:uiPriority w:val="99"/>
    <w:unhideWhenUsed/>
    <w:qFormat/>
    <w:pPr>
      <w:spacing w:after="120" w:line="480" w:lineRule="auto"/>
    </w:pPr>
  </w:style>
  <w:style w:type="paragraph" w:styleId="List4">
    <w:name w:val="List 4"/>
    <w:basedOn w:val="Normal"/>
    <w:uiPriority w:val="99"/>
    <w:unhideWhenUsed/>
    <w:qFormat/>
    <w:pPr>
      <w:ind w:left="100" w:hanging="200" w:leftChars="600" w:hangingChars="200"/>
      <w:contextualSpacing/>
    </w:pPr>
  </w:style>
  <w:style w:type="paragraph" w:styleId="ListContinue2">
    <w:name w:val="List Continue 2"/>
    <w:basedOn w:val="Normal"/>
    <w:uiPriority w:val="99"/>
    <w:unhideWhenUsed/>
    <w:qFormat/>
    <w:pPr>
      <w:spacing w:after="120"/>
      <w:ind w:left="840" w:leftChars="400"/>
      <w:contextualSpacing/>
    </w:pPr>
  </w:style>
  <w:style w:type="paragraph" w:styleId="MessageHeader">
    <w:name w:val="Message Header"/>
    <w:basedOn w:val="Normal"/>
    <w:link w:val="a17"/>
    <w:uiPriority w:val="99"/>
    <w:unhideWhenUsed/>
    <w:qFormat/>
    <w:pPr>
      <w:pBdr>
        <w:top w:val="single" w:sz="6" w:space="1" w:color="auto"/>
        <w:left w:val="single" w:sz="6" w:space="1" w:color="auto"/>
        <w:bottom w:val="single" w:sz="6" w:space="1" w:color="auto"/>
        <w:right w:val="single" w:sz="6" w:space="1" w:color="auto"/>
      </w:pBdr>
      <w:shd w:val="pct20" w:color="auto" w:fill="auto"/>
      <w:ind w:left="1080" w:hanging="1080" w:leftChars="500" w:hangingChars="500"/>
    </w:pPr>
    <w:rPr>
      <w:rFonts w:ascii="Cambria" w:hAnsi="Cambria"/>
      <w:sz w:val="24"/>
      <w:szCs w:val="24"/>
    </w:rPr>
  </w:style>
  <w:style w:type="paragraph" w:styleId="HTMLPreformatted">
    <w:name w:val="HTML Preformatted"/>
    <w:basedOn w:val="Normal"/>
    <w:link w:val="HTML0"/>
    <w:uiPriority w:val="99"/>
    <w:unhideWhenUsed/>
    <w:qFormat/>
    <w:rPr>
      <w:rFonts w:ascii="Courier New" w:hAnsi="Courier New" w:cs="Courier New"/>
      <w:sz w:val="20"/>
      <w:szCs w:val="20"/>
    </w:rPr>
  </w:style>
  <w:style w:type="paragraph" w:styleId="NormalWeb">
    <w:name w:val="Normal (Web)"/>
    <w:basedOn w:val="Normal"/>
    <w:link w:val="a18"/>
    <w:uiPriority w:val="99"/>
    <w:qFormat/>
    <w:pPr>
      <w:widowControl/>
      <w:spacing w:before="30" w:after="30" w:line="300" w:lineRule="auto"/>
      <w:jc w:val="left"/>
    </w:pPr>
    <w:rPr>
      <w:rFonts w:ascii="宋体" w:hAnsi="宋体"/>
      <w:kern w:val="0"/>
      <w:sz w:val="24"/>
      <w:szCs w:val="24"/>
    </w:rPr>
  </w:style>
  <w:style w:type="paragraph" w:styleId="ListContinue3">
    <w:name w:val="List Continue 3"/>
    <w:basedOn w:val="Normal"/>
    <w:uiPriority w:val="99"/>
    <w:unhideWhenUsed/>
    <w:qFormat/>
    <w:pPr>
      <w:spacing w:after="120"/>
      <w:ind w:left="1260" w:leftChars="600"/>
      <w:contextualSpacing/>
    </w:pPr>
  </w:style>
  <w:style w:type="paragraph" w:styleId="Index2">
    <w:name w:val="index 2"/>
    <w:basedOn w:val="Normal"/>
    <w:next w:val="Normal"/>
    <w:uiPriority w:val="99"/>
    <w:unhideWhenUsed/>
    <w:qFormat/>
    <w:pPr>
      <w:ind w:left="200" w:leftChars="200"/>
    </w:pPr>
  </w:style>
  <w:style w:type="paragraph" w:styleId="Title">
    <w:name w:val="Title"/>
    <w:basedOn w:val="Normal"/>
    <w:next w:val="Normal"/>
    <w:link w:val="a19"/>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a20"/>
    <w:uiPriority w:val="99"/>
    <w:unhideWhenUsed/>
    <w:qFormat/>
    <w:rPr>
      <w:b/>
      <w:bCs/>
      <w:kern w:val="2"/>
      <w:sz w:val="21"/>
      <w:szCs w:val="22"/>
    </w:rPr>
  </w:style>
  <w:style w:type="paragraph" w:styleId="BodyTextFirstIndent">
    <w:name w:val="Body Text First Indent"/>
    <w:basedOn w:val="BodyText"/>
    <w:link w:val="a21"/>
    <w:uiPriority w:val="99"/>
    <w:unhideWhenUsed/>
    <w:qFormat/>
    <w:pPr>
      <w:shd w:val="clear" w:color="auto" w:fill="auto"/>
      <w:spacing w:after="120" w:line="240" w:lineRule="auto"/>
      <w:ind w:firstLine="420" w:firstLineChars="100"/>
      <w:jc w:val="both"/>
    </w:pPr>
    <w:rPr>
      <w:rFonts w:ascii="Calibri" w:hAnsi="Calibri"/>
      <w:kern w:val="2"/>
      <w:sz w:val="21"/>
      <w:szCs w:val="22"/>
    </w:rPr>
  </w:style>
  <w:style w:type="paragraph" w:styleId="BodyTextFirstIndent2">
    <w:name w:val="Body Text First Indent 2"/>
    <w:basedOn w:val="BodyTextIndent"/>
    <w:link w:val="22"/>
    <w:uiPriority w:val="99"/>
    <w:unhideWhenUsed/>
    <w:qFormat/>
    <w:pPr>
      <w:ind w:firstLine="420" w:firstLineChars="200"/>
    </w:pPr>
  </w:style>
  <w:style w:type="table" w:styleId="TableGrid">
    <w:name w:val="Table Grid"/>
    <w:basedOn w:val="TableNormal"/>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Pr>
      <w:sz w:val="21"/>
      <w:szCs w:val="21"/>
    </w:rPr>
  </w:style>
  <w:style w:type="character" w:customStyle="1" w:styleId="a">
    <w:name w:val="宏文本 字符"/>
    <w:link w:val="Macro"/>
    <w:uiPriority w:val="99"/>
    <w:semiHidden/>
    <w:qFormat/>
    <w:rPr>
      <w:rFonts w:ascii="Courier New" w:hAnsi="Courier New" w:cs="Courier New"/>
      <w:kern w:val="2"/>
      <w:sz w:val="24"/>
      <w:szCs w:val="24"/>
    </w:rPr>
  </w:style>
  <w:style w:type="character" w:customStyle="1" w:styleId="1">
    <w:name w:val="标题 1 字符"/>
    <w:link w:val="Heading1"/>
    <w:uiPriority w:val="9"/>
    <w:qFormat/>
    <w:rPr>
      <w:b/>
      <w:bCs/>
      <w:kern w:val="44"/>
      <w:sz w:val="44"/>
      <w:szCs w:val="44"/>
    </w:rPr>
  </w:style>
  <w:style w:type="character" w:customStyle="1" w:styleId="2">
    <w:name w:val="标题 2 字符"/>
    <w:link w:val="Heading2"/>
    <w:uiPriority w:val="9"/>
    <w:semiHidden/>
    <w:qFormat/>
    <w:rPr>
      <w:rFonts w:ascii="Cambria" w:eastAsia="宋体" w:hAnsi="Cambria" w:cs="Times New Roman"/>
      <w:b/>
      <w:bCs/>
      <w:kern w:val="2"/>
      <w:sz w:val="32"/>
      <w:szCs w:val="32"/>
    </w:rPr>
  </w:style>
  <w:style w:type="character" w:customStyle="1" w:styleId="3">
    <w:name w:val="标题 3 字符"/>
    <w:link w:val="Heading3"/>
    <w:uiPriority w:val="9"/>
    <w:semiHidden/>
    <w:qFormat/>
    <w:rPr>
      <w:b/>
      <w:bCs/>
      <w:kern w:val="2"/>
      <w:sz w:val="32"/>
      <w:szCs w:val="32"/>
    </w:rPr>
  </w:style>
  <w:style w:type="character" w:customStyle="1" w:styleId="4">
    <w:name w:val="标题 4 字符"/>
    <w:link w:val="Heading4"/>
    <w:uiPriority w:val="9"/>
    <w:semiHidden/>
    <w:qFormat/>
    <w:rPr>
      <w:rFonts w:ascii="Cambria" w:eastAsia="宋体" w:hAnsi="Cambria" w:cs="Times New Roman"/>
      <w:b/>
      <w:bCs/>
      <w:kern w:val="2"/>
      <w:sz w:val="28"/>
      <w:szCs w:val="28"/>
    </w:rPr>
  </w:style>
  <w:style w:type="character" w:customStyle="1" w:styleId="5">
    <w:name w:val="标题 5 字符"/>
    <w:link w:val="Heading5"/>
    <w:uiPriority w:val="9"/>
    <w:semiHidden/>
    <w:qFormat/>
    <w:rPr>
      <w:b/>
      <w:bCs/>
      <w:kern w:val="2"/>
      <w:sz w:val="28"/>
      <w:szCs w:val="28"/>
    </w:rPr>
  </w:style>
  <w:style w:type="character" w:customStyle="1" w:styleId="6">
    <w:name w:val="标题 6 字符"/>
    <w:link w:val="Heading6"/>
    <w:uiPriority w:val="9"/>
    <w:semiHidden/>
    <w:qFormat/>
    <w:rPr>
      <w:rFonts w:ascii="Cambria" w:eastAsia="宋体" w:hAnsi="Cambria" w:cs="Times New Roman"/>
      <w:b/>
      <w:bCs/>
      <w:kern w:val="2"/>
      <w:sz w:val="24"/>
      <w:szCs w:val="24"/>
    </w:rPr>
  </w:style>
  <w:style w:type="character" w:customStyle="1" w:styleId="7">
    <w:name w:val="标题 7 字符"/>
    <w:link w:val="Heading7"/>
    <w:uiPriority w:val="9"/>
    <w:semiHidden/>
    <w:qFormat/>
    <w:rPr>
      <w:b/>
      <w:bCs/>
      <w:kern w:val="2"/>
      <w:sz w:val="24"/>
      <w:szCs w:val="24"/>
    </w:rPr>
  </w:style>
  <w:style w:type="character" w:customStyle="1" w:styleId="8">
    <w:name w:val="标题 8 字符"/>
    <w:link w:val="Heading8"/>
    <w:uiPriority w:val="9"/>
    <w:semiHidden/>
    <w:qFormat/>
    <w:rPr>
      <w:rFonts w:ascii="Cambria" w:eastAsia="宋体" w:hAnsi="Cambria" w:cs="Times New Roman"/>
      <w:kern w:val="2"/>
      <w:sz w:val="24"/>
      <w:szCs w:val="24"/>
    </w:rPr>
  </w:style>
  <w:style w:type="character" w:customStyle="1" w:styleId="9">
    <w:name w:val="标题 9 字符"/>
    <w:link w:val="Heading9"/>
    <w:uiPriority w:val="9"/>
    <w:semiHidden/>
    <w:qFormat/>
    <w:rPr>
      <w:rFonts w:ascii="Cambria" w:eastAsia="宋体" w:hAnsi="Cambria" w:cs="Times New Roman"/>
      <w:kern w:val="2"/>
      <w:sz w:val="21"/>
      <w:szCs w:val="21"/>
    </w:rPr>
  </w:style>
  <w:style w:type="character" w:customStyle="1" w:styleId="a0">
    <w:name w:val="注释标题 字符"/>
    <w:link w:val="NoteHeading"/>
    <w:uiPriority w:val="99"/>
    <w:semiHidden/>
    <w:qFormat/>
    <w:rPr>
      <w:kern w:val="2"/>
      <w:sz w:val="21"/>
      <w:szCs w:val="22"/>
    </w:rPr>
  </w:style>
  <w:style w:type="character" w:customStyle="1" w:styleId="a1">
    <w:name w:val="电子邮件签名 字符"/>
    <w:link w:val="E-mailSignature"/>
    <w:uiPriority w:val="99"/>
    <w:semiHidden/>
    <w:qFormat/>
    <w:rPr>
      <w:kern w:val="2"/>
      <w:sz w:val="21"/>
      <w:szCs w:val="22"/>
    </w:rPr>
  </w:style>
  <w:style w:type="character" w:customStyle="1" w:styleId="a2">
    <w:name w:val="文档结构图 字符"/>
    <w:link w:val="DocumentMap"/>
    <w:uiPriority w:val="99"/>
    <w:semiHidden/>
    <w:qFormat/>
    <w:rPr>
      <w:rFonts w:ascii="宋体"/>
      <w:kern w:val="2"/>
      <w:sz w:val="18"/>
      <w:szCs w:val="18"/>
    </w:rPr>
  </w:style>
  <w:style w:type="character" w:customStyle="1" w:styleId="a3">
    <w:name w:val="批注文字 字符"/>
    <w:link w:val="CommentText"/>
    <w:uiPriority w:val="99"/>
    <w:qFormat/>
    <w:rPr>
      <w:rFonts w:ascii="Times New Roman" w:eastAsia="宋体" w:hAnsi="Times New Roman" w:cs="Times New Roman"/>
      <w:szCs w:val="24"/>
    </w:rPr>
  </w:style>
  <w:style w:type="character" w:customStyle="1" w:styleId="a4">
    <w:name w:val="称呼 字符"/>
    <w:link w:val="Salutation"/>
    <w:uiPriority w:val="99"/>
    <w:semiHidden/>
    <w:qFormat/>
    <w:rPr>
      <w:kern w:val="2"/>
      <w:sz w:val="21"/>
      <w:szCs w:val="22"/>
    </w:rPr>
  </w:style>
  <w:style w:type="character" w:customStyle="1" w:styleId="30">
    <w:name w:val="正文文本 3 字符"/>
    <w:link w:val="BodyText3"/>
    <w:uiPriority w:val="99"/>
    <w:semiHidden/>
    <w:qFormat/>
    <w:rPr>
      <w:kern w:val="2"/>
      <w:sz w:val="16"/>
      <w:szCs w:val="16"/>
    </w:rPr>
  </w:style>
  <w:style w:type="character" w:customStyle="1" w:styleId="a5">
    <w:name w:val="结束语 字符"/>
    <w:link w:val="Closing"/>
    <w:uiPriority w:val="99"/>
    <w:semiHidden/>
    <w:qFormat/>
    <w:rPr>
      <w:kern w:val="2"/>
      <w:sz w:val="21"/>
      <w:szCs w:val="22"/>
    </w:rPr>
  </w:style>
  <w:style w:type="character" w:customStyle="1" w:styleId="a6">
    <w:name w:val="正文文本 字符"/>
    <w:link w:val="BodyText"/>
    <w:qFormat/>
    <w:rPr>
      <w:rFonts w:ascii="宋体" w:hAnsi="Times New Roman"/>
      <w:sz w:val="18"/>
      <w:szCs w:val="18"/>
      <w:shd w:val="clear" w:color="auto" w:fill="FFFFFF"/>
    </w:rPr>
  </w:style>
  <w:style w:type="character" w:customStyle="1" w:styleId="a7">
    <w:name w:val="正文文本缩进 字符"/>
    <w:link w:val="BodyTextIndent"/>
    <w:uiPriority w:val="99"/>
    <w:semiHidden/>
    <w:qFormat/>
    <w:rPr>
      <w:kern w:val="2"/>
      <w:sz w:val="21"/>
      <w:szCs w:val="22"/>
    </w:rPr>
  </w:style>
  <w:style w:type="character" w:customStyle="1" w:styleId="HTML">
    <w:name w:val="HTML 地址 字符"/>
    <w:link w:val="HTMLAddress"/>
    <w:uiPriority w:val="99"/>
    <w:semiHidden/>
    <w:qFormat/>
    <w:rPr>
      <w:i/>
      <w:iCs/>
      <w:kern w:val="2"/>
      <w:sz w:val="21"/>
      <w:szCs w:val="22"/>
    </w:rPr>
  </w:style>
  <w:style w:type="character" w:customStyle="1" w:styleId="a8">
    <w:name w:val="纯文本 字符"/>
    <w:link w:val="PlainText"/>
    <w:qFormat/>
    <w:rPr>
      <w:rFonts w:ascii="宋体" w:eastAsia="宋体" w:hAnsi="Courier New" w:cs="Courier New"/>
      <w:szCs w:val="21"/>
    </w:rPr>
  </w:style>
  <w:style w:type="character" w:customStyle="1" w:styleId="a9">
    <w:name w:val="日期 字符"/>
    <w:link w:val="Date"/>
    <w:uiPriority w:val="99"/>
    <w:semiHidden/>
    <w:qFormat/>
    <w:rPr>
      <w:kern w:val="2"/>
      <w:sz w:val="21"/>
      <w:szCs w:val="22"/>
    </w:rPr>
  </w:style>
  <w:style w:type="character" w:customStyle="1" w:styleId="20">
    <w:name w:val="正文文本缩进 2 字符"/>
    <w:link w:val="BodyTextIndent2"/>
    <w:uiPriority w:val="99"/>
    <w:semiHidden/>
    <w:qFormat/>
    <w:rPr>
      <w:kern w:val="2"/>
      <w:sz w:val="21"/>
      <w:szCs w:val="22"/>
    </w:rPr>
  </w:style>
  <w:style w:type="character" w:customStyle="1" w:styleId="a10">
    <w:name w:val="尾注文本 字符"/>
    <w:link w:val="EndnoteText"/>
    <w:uiPriority w:val="99"/>
    <w:semiHidden/>
    <w:qFormat/>
    <w:rPr>
      <w:kern w:val="2"/>
      <w:sz w:val="21"/>
      <w:szCs w:val="22"/>
    </w:rPr>
  </w:style>
  <w:style w:type="character" w:customStyle="1" w:styleId="a11">
    <w:name w:val="批注框文本 字符"/>
    <w:link w:val="BalloonText"/>
    <w:uiPriority w:val="99"/>
    <w:semiHidden/>
    <w:qFormat/>
    <w:rPr>
      <w:sz w:val="18"/>
      <w:szCs w:val="18"/>
    </w:rPr>
  </w:style>
  <w:style w:type="character" w:customStyle="1" w:styleId="a12">
    <w:name w:val="页脚 字符"/>
    <w:link w:val="Footer"/>
    <w:uiPriority w:val="99"/>
    <w:qFormat/>
    <w:rPr>
      <w:sz w:val="18"/>
      <w:szCs w:val="18"/>
    </w:rPr>
  </w:style>
  <w:style w:type="character" w:customStyle="1" w:styleId="a13">
    <w:name w:val="页眉 字符"/>
    <w:link w:val="Header"/>
    <w:uiPriority w:val="99"/>
    <w:qFormat/>
    <w:rPr>
      <w:sz w:val="18"/>
      <w:szCs w:val="18"/>
    </w:rPr>
  </w:style>
  <w:style w:type="character" w:customStyle="1" w:styleId="a14">
    <w:name w:val="签名 字符"/>
    <w:link w:val="Signature"/>
    <w:uiPriority w:val="99"/>
    <w:semiHidden/>
    <w:qFormat/>
    <w:rPr>
      <w:kern w:val="2"/>
      <w:sz w:val="21"/>
      <w:szCs w:val="22"/>
    </w:rPr>
  </w:style>
  <w:style w:type="character" w:customStyle="1" w:styleId="a15">
    <w:name w:val="副标题 字符"/>
    <w:link w:val="Subtitle"/>
    <w:uiPriority w:val="11"/>
    <w:qFormat/>
    <w:rPr>
      <w:rFonts w:ascii="Cambria" w:hAnsi="Cambria" w:cs="Times New Roman"/>
      <w:b/>
      <w:bCs/>
      <w:kern w:val="28"/>
      <w:sz w:val="32"/>
      <w:szCs w:val="32"/>
    </w:rPr>
  </w:style>
  <w:style w:type="character" w:customStyle="1" w:styleId="a16">
    <w:name w:val="脚注文本 字符"/>
    <w:link w:val="FootnoteText"/>
    <w:uiPriority w:val="99"/>
    <w:semiHidden/>
    <w:qFormat/>
    <w:rPr>
      <w:kern w:val="2"/>
      <w:sz w:val="18"/>
      <w:szCs w:val="18"/>
    </w:rPr>
  </w:style>
  <w:style w:type="character" w:customStyle="1" w:styleId="31">
    <w:name w:val="正文文本缩进 3 字符"/>
    <w:link w:val="BodyTextIndent3"/>
    <w:uiPriority w:val="99"/>
    <w:semiHidden/>
    <w:qFormat/>
    <w:rPr>
      <w:kern w:val="2"/>
      <w:sz w:val="16"/>
      <w:szCs w:val="16"/>
    </w:rPr>
  </w:style>
  <w:style w:type="character" w:customStyle="1" w:styleId="21">
    <w:name w:val="正文文本 2 字符"/>
    <w:link w:val="BodyText2"/>
    <w:uiPriority w:val="99"/>
    <w:semiHidden/>
    <w:qFormat/>
    <w:rPr>
      <w:kern w:val="2"/>
      <w:sz w:val="21"/>
      <w:szCs w:val="22"/>
    </w:rPr>
  </w:style>
  <w:style w:type="character" w:customStyle="1" w:styleId="a17">
    <w:name w:val="信息标题 字符"/>
    <w:link w:val="MessageHeader"/>
    <w:uiPriority w:val="99"/>
    <w:semiHidden/>
    <w:qFormat/>
    <w:rPr>
      <w:rFonts w:ascii="Cambria" w:eastAsia="宋体" w:hAnsi="Cambria" w:cs="Times New Roman"/>
      <w:kern w:val="2"/>
      <w:sz w:val="24"/>
      <w:szCs w:val="24"/>
      <w:shd w:val="pct20" w:color="auto" w:fill="auto"/>
    </w:rPr>
  </w:style>
  <w:style w:type="character" w:customStyle="1" w:styleId="HTML0">
    <w:name w:val="HTML 预设格式 字符"/>
    <w:link w:val="HTMLPreformatted"/>
    <w:uiPriority w:val="99"/>
    <w:semiHidden/>
    <w:qFormat/>
    <w:rPr>
      <w:rFonts w:ascii="Courier New" w:hAnsi="Courier New" w:cs="Courier New"/>
      <w:kern w:val="2"/>
    </w:rPr>
  </w:style>
  <w:style w:type="character" w:customStyle="1" w:styleId="a18">
    <w:name w:val="普通(网站) 字符"/>
    <w:link w:val="NormalWeb"/>
    <w:qFormat/>
    <w:rPr>
      <w:rFonts w:ascii="宋体" w:eastAsia="宋体" w:hAnsi="宋体" w:cs="宋体"/>
      <w:kern w:val="0"/>
      <w:sz w:val="24"/>
      <w:szCs w:val="24"/>
    </w:rPr>
  </w:style>
  <w:style w:type="character" w:customStyle="1" w:styleId="a19">
    <w:name w:val="标题 字符"/>
    <w:link w:val="Title"/>
    <w:uiPriority w:val="10"/>
    <w:qFormat/>
    <w:rPr>
      <w:rFonts w:ascii="Cambria" w:hAnsi="Cambria" w:cs="Times New Roman"/>
      <w:b/>
      <w:bCs/>
      <w:kern w:val="2"/>
      <w:sz w:val="32"/>
      <w:szCs w:val="32"/>
    </w:rPr>
  </w:style>
  <w:style w:type="character" w:customStyle="1" w:styleId="a20">
    <w:name w:val="批注主题 字符"/>
    <w:link w:val="CommentSubject"/>
    <w:uiPriority w:val="99"/>
    <w:semiHidden/>
    <w:qFormat/>
    <w:rPr>
      <w:rFonts w:ascii="Times New Roman" w:eastAsia="宋体" w:hAnsi="Times New Roman" w:cs="Times New Roman"/>
      <w:b/>
      <w:bCs/>
      <w:kern w:val="2"/>
      <w:sz w:val="21"/>
      <w:szCs w:val="22"/>
    </w:rPr>
  </w:style>
  <w:style w:type="character" w:customStyle="1" w:styleId="a21">
    <w:name w:val="正文首行缩进 字符"/>
    <w:link w:val="BodyTextFirstIndent"/>
    <w:uiPriority w:val="99"/>
    <w:semiHidden/>
    <w:qFormat/>
    <w:rPr>
      <w:rFonts w:ascii="宋体" w:hAnsi="Times New Roman"/>
      <w:kern w:val="2"/>
      <w:sz w:val="21"/>
      <w:szCs w:val="22"/>
      <w:shd w:val="clear" w:color="auto" w:fill="FFFFFF"/>
    </w:rPr>
  </w:style>
  <w:style w:type="character" w:customStyle="1" w:styleId="22">
    <w:name w:val="正文首行缩进 2 字符"/>
    <w:basedOn w:val="a7"/>
    <w:link w:val="BodyTextFirstIndent2"/>
    <w:uiPriority w:val="99"/>
    <w:semiHidden/>
    <w:qFormat/>
    <w:rPr>
      <w:kern w:val="2"/>
      <w:sz w:val="21"/>
      <w:szCs w:val="22"/>
    </w:rPr>
  </w:style>
  <w:style w:type="character" w:customStyle="1" w:styleId="pltixk">
    <w:name w:val="pl*tixk"/>
    <w:qFormat/>
  </w:style>
  <w:style w:type="paragraph" w:customStyle="1" w:styleId="10">
    <w:name w:val="列出段落1"/>
    <w:basedOn w:val="Normal"/>
    <w:qFormat/>
    <w:pPr>
      <w:ind w:firstLine="420" w:firstLineChars="200"/>
    </w:pPr>
    <w:rPr>
      <w:szCs w:val="21"/>
    </w:rPr>
  </w:style>
  <w:style w:type="paragraph" w:customStyle="1" w:styleId="0">
    <w:name w:val="正文_0"/>
    <w:qFormat/>
    <w:pPr>
      <w:widowControl w:val="0"/>
      <w:jc w:val="both"/>
    </w:pPr>
    <w:rPr>
      <w:rFonts w:ascii="Calibri" w:eastAsia="宋体" w:hAnsi="Calibri" w:cs="Times New Roman"/>
      <w:kern w:val="2"/>
      <w:sz w:val="21"/>
      <w:szCs w:val="22"/>
      <w:lang w:val="en-US" w:eastAsia="zh-CN" w:bidi="ar-SA"/>
    </w:rPr>
  </w:style>
  <w:style w:type="paragraph" w:styleId="ListParagraph">
    <w:name w:val="List Paragraph"/>
    <w:basedOn w:val="Normal"/>
    <w:uiPriority w:val="34"/>
    <w:qFormat/>
    <w:pPr>
      <w:ind w:firstLine="420" w:firstLineChars="200"/>
    </w:pPr>
  </w:style>
  <w:style w:type="paragraph" w:customStyle="1" w:styleId="DefaultParagraph">
    <w:name w:val="DefaultParagraph"/>
    <w:link w:val="DefaultParagraphCharChar"/>
    <w:qFormat/>
    <w:rPr>
      <w:rFonts w:ascii="Times New Roman" w:eastAsia="宋体" w:hAnsi="Calibri" w:cs="Times New Roman"/>
      <w:kern w:val="2"/>
      <w:sz w:val="21"/>
      <w:szCs w:val="22"/>
      <w:lang w:val="en-US" w:eastAsia="zh-CN" w:bidi="ar-SA"/>
    </w:rPr>
  </w:style>
  <w:style w:type="character" w:customStyle="1" w:styleId="DefaultParagraphCharChar">
    <w:name w:val="DefaultParagraph Char Char"/>
    <w:link w:val="DefaultParagraph"/>
    <w:qFormat/>
    <w:rPr>
      <w:rFonts w:ascii="Times New Roman"/>
      <w:kern w:val="2"/>
      <w:sz w:val="21"/>
      <w:szCs w:val="22"/>
    </w:rPr>
  </w:style>
  <w:style w:type="character" w:customStyle="1" w:styleId="tnude">
    <w:name w:val="tn+ude"/>
    <w:basedOn w:val="DefaultParagraphFont"/>
    <w:qFormat/>
  </w:style>
  <w:style w:type="paragraph" w:customStyle="1" w:styleId="00">
    <w:name w:val="纯文本_0"/>
    <w:basedOn w:val="Normal"/>
    <w:link w:val="1Char1"/>
    <w:qFormat/>
    <w:rPr>
      <w:rFonts w:ascii="宋体" w:hAnsi="Courier New"/>
      <w:kern w:val="0"/>
      <w:sz w:val="20"/>
      <w:szCs w:val="21"/>
    </w:rPr>
  </w:style>
  <w:style w:type="character" w:customStyle="1" w:styleId="1Char1">
    <w:name w:val="标题1 Char1"/>
    <w:link w:val="00"/>
    <w:qFormat/>
    <w:locked/>
    <w:rPr>
      <w:rFonts w:ascii="宋体" w:eastAsia="宋体" w:hAnsi="Courier New" w:cs="Courier New"/>
      <w:szCs w:val="21"/>
    </w:rPr>
  </w:style>
  <w:style w:type="paragraph" w:customStyle="1" w:styleId="Default">
    <w:name w:val="Default"/>
    <w:qFormat/>
    <w:pPr>
      <w:widowControl w:val="0"/>
      <w:autoSpaceDE w:val="0"/>
      <w:autoSpaceDN w:val="0"/>
      <w:adjustRightInd w:val="0"/>
    </w:pPr>
    <w:rPr>
      <w:rFonts w:ascii="Calibri" w:eastAsia="宋体" w:hAnsi="Calibri" w:cs="Times New Roman"/>
      <w:color w:val="000000"/>
      <w:sz w:val="24"/>
      <w:szCs w:val="24"/>
      <w:lang w:val="en-US" w:eastAsia="zh-CN" w:bidi="ar-SA"/>
    </w:rPr>
  </w:style>
  <w:style w:type="paragraph" w:customStyle="1" w:styleId="01">
    <w:name w:val="普通(网站)_0"/>
    <w:basedOn w:val="0"/>
    <w:link w:val="0Char"/>
    <w:qFormat/>
    <w:pPr>
      <w:widowControl/>
      <w:spacing w:before="100" w:beforeAutospacing="1" w:after="100" w:afterAutospacing="1"/>
      <w:jc w:val="left"/>
    </w:pPr>
    <w:rPr>
      <w:rFonts w:ascii="宋体" w:hAnsi="宋体"/>
      <w:kern w:val="0"/>
      <w:sz w:val="24"/>
      <w:szCs w:val="24"/>
    </w:rPr>
  </w:style>
  <w:style w:type="character" w:customStyle="1" w:styleId="0Char">
    <w:name w:val="普通(网站)_0 Char"/>
    <w:link w:val="01"/>
    <w:qFormat/>
    <w:locked/>
    <w:rPr>
      <w:rFonts w:ascii="宋体" w:hAnsi="宋体"/>
      <w:sz w:val="24"/>
      <w:szCs w:val="24"/>
    </w:rPr>
  </w:style>
  <w:style w:type="character" w:customStyle="1" w:styleId="0Char0">
    <w:name w:val="正文_0 Char"/>
    <w:link w:val="000"/>
    <w:qFormat/>
    <w:rPr>
      <w:kern w:val="2"/>
      <w:sz w:val="21"/>
      <w:szCs w:val="22"/>
    </w:rPr>
  </w:style>
  <w:style w:type="paragraph" w:customStyle="1" w:styleId="000">
    <w:name w:val="正文_0_0"/>
    <w:link w:val="0Char0"/>
    <w:qFormat/>
    <w:pPr>
      <w:widowControl w:val="0"/>
      <w:jc w:val="both"/>
    </w:pPr>
    <w:rPr>
      <w:rFonts w:ascii="Calibri" w:eastAsia="宋体" w:hAnsi="Calibri" w:cs="Times New Roman"/>
      <w:kern w:val="2"/>
      <w:sz w:val="21"/>
      <w:szCs w:val="22"/>
      <w:lang w:val="en-US" w:eastAsia="zh-CN" w:bidi="ar-SA"/>
    </w:rPr>
  </w:style>
  <w:style w:type="character" w:customStyle="1" w:styleId="jyemathselector">
    <w:name w:val="jye_math_selector"/>
    <w:qFormat/>
    <w:rPr>
      <w:rFonts w:ascii="Times New Roman" w:hAnsi="Times New Roman" w:cs="Times New Roman" w:hint="default"/>
    </w:rPr>
  </w:style>
  <w:style w:type="character" w:customStyle="1" w:styleId="apple-converted-space">
    <w:name w:val="apple-converted-space"/>
    <w:qFormat/>
  </w:style>
  <w:style w:type="paragraph" w:customStyle="1" w:styleId="Style146">
    <w:name w:val="_Style 146"/>
    <w:basedOn w:val="Heading1"/>
    <w:next w:val="Normal"/>
    <w:uiPriority w:val="39"/>
    <w:unhideWhenUsed/>
    <w:qFormat/>
    <w:pPr>
      <w:outlineLvl w:val="9"/>
    </w:pPr>
  </w:style>
  <w:style w:type="paragraph" w:styleId="IntenseQuote">
    <w:name w:val="Intense Quote"/>
    <w:basedOn w:val="Normal"/>
    <w:next w:val="Normal"/>
    <w:link w:val="a22"/>
    <w:uiPriority w:val="30"/>
    <w:qFormat/>
    <w:pPr>
      <w:pBdr>
        <w:bottom w:val="single" w:sz="4" w:space="4" w:color="4F81BD"/>
      </w:pBdr>
      <w:spacing w:before="200" w:after="280"/>
      <w:ind w:left="936" w:right="936"/>
    </w:pPr>
    <w:rPr>
      <w:b/>
      <w:bCs/>
      <w:i/>
      <w:iCs/>
      <w:color w:val="4F81BD"/>
    </w:rPr>
  </w:style>
  <w:style w:type="character" w:customStyle="1" w:styleId="a22">
    <w:name w:val="明显引用 字符"/>
    <w:link w:val="IntenseQuote"/>
    <w:uiPriority w:val="30"/>
    <w:qFormat/>
    <w:rPr>
      <w:b/>
      <w:bCs/>
      <w:i/>
      <w:iCs/>
      <w:color w:val="4F81BD"/>
      <w:kern w:val="2"/>
      <w:sz w:val="21"/>
      <w:szCs w:val="22"/>
    </w:rPr>
  </w:style>
  <w:style w:type="paragraph" w:customStyle="1" w:styleId="Style149">
    <w:name w:val="_Style 149"/>
    <w:basedOn w:val="Normal"/>
    <w:next w:val="Normal"/>
    <w:uiPriority w:val="37"/>
    <w:unhideWhenUsed/>
    <w:qFormat/>
  </w:style>
  <w:style w:type="paragraph" w:styleId="NoSpacing">
    <w:name w:val="No Spacing"/>
    <w:uiPriority w:val="1"/>
    <w:qFormat/>
    <w:pPr>
      <w:widowControl w:val="0"/>
      <w:jc w:val="both"/>
    </w:pPr>
    <w:rPr>
      <w:rFonts w:ascii="Calibri" w:eastAsia="宋体" w:hAnsi="Calibri" w:cs="Times New Roman"/>
      <w:kern w:val="2"/>
      <w:sz w:val="21"/>
      <w:szCs w:val="22"/>
      <w:lang w:val="en-US" w:eastAsia="zh-CN" w:bidi="ar-SA"/>
    </w:rPr>
  </w:style>
  <w:style w:type="paragraph" w:styleId="Quote">
    <w:name w:val="Quote"/>
    <w:basedOn w:val="Normal"/>
    <w:next w:val="Normal"/>
    <w:link w:val="a23"/>
    <w:uiPriority w:val="29"/>
    <w:qFormat/>
    <w:rPr>
      <w:i/>
      <w:iCs/>
      <w:color w:val="000000"/>
    </w:rPr>
  </w:style>
  <w:style w:type="character" w:customStyle="1" w:styleId="a23">
    <w:name w:val="引用 字符"/>
    <w:link w:val="Quote"/>
    <w:uiPriority w:val="29"/>
    <w:qFormat/>
    <w:rPr>
      <w:i/>
      <w:iCs/>
      <w:color w:val="000000"/>
      <w:kern w:val="2"/>
      <w:sz w:val="21"/>
      <w:szCs w:val="22"/>
    </w:rPr>
  </w:style>
  <w:style w:type="character" w:styleId="PlaceholderText">
    <w:name w:val="Placeholder Text"/>
    <w:uiPriority w:val="99"/>
    <w:semiHidden/>
    <w:qFormat/>
    <w:rPr>
      <w:color w:val="808080"/>
    </w:rPr>
  </w:style>
  <w:style w:type="paragraph" w:customStyle="1" w:styleId="paragraph">
    <w:name w:val="paragraph"/>
    <w:basedOn w:val="Normal"/>
    <w:semiHidden/>
    <w:qFormat/>
    <w:pPr>
      <w:widowControl/>
      <w:spacing w:before="100" w:beforeAutospacing="1" w:after="100" w:afterAutospacing="1"/>
      <w:jc w:val="left"/>
    </w:pPr>
    <w:rPr>
      <w:rFonts w:ascii="等线" w:eastAsia="等线" w:hAnsi="等线"/>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fontTable.xml.rels><?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s>
</file>

<file path=word/_rels/footer2.xml.rels><?xml version="1.0" encoding="utf-8" standalone="yes"?><Relationships xmlns="http://schemas.openxmlformats.org/package/2006/relationships"><Relationship Id="rId1" Type="http://schemas.openxmlformats.org/officeDocument/2006/relationships/image" Target="media/image8.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7.png" /></Relationships>
</file>

<file path=word/_rels/header2.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media/image8.png" /><Relationship Id="rId3"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customShpInfo spid="_x0000_s2049"/>
    <customShpInfo spid="_x0000_s2066"/>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6935</Words>
  <Characters>7095</Characters>
  <Application>Microsoft Office Word</Application>
  <DocSecurity>0</DocSecurity>
  <Lines>29</Lines>
  <Paragraphs>8</Paragraphs>
  <ScaleCrop>false</ScaleCrop>
  <Company/>
  <LinksUpToDate>false</LinksUpToDate>
  <CharactersWithSpaces>7232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lastPrinted>2024-12-16T06:18:00Z</cp:lastPrinted>
  <dcterms:created xsi:type="dcterms:W3CDTF">2018-04-24T08:46:00Z</dcterms:created>
  <dcterms:modified xsi:type="dcterms:W3CDTF">2026-04-21T07:14:23Z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