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CB8" w:rsidRDefault="00510EA7">
      <w:pPr>
        <w:jc w:val="center"/>
        <w:rPr>
          <w:rFonts w:eastAsia="黑体"/>
          <w:sz w:val="30"/>
        </w:rPr>
      </w:pPr>
      <w:r>
        <w:rPr>
          <w:rFonts w:eastAsia="黑体"/>
          <w:noProof/>
          <w:sz w:val="30"/>
        </w:rPr>
        <w:drawing>
          <wp:anchor distT="0" distB="0" distL="114300" distR="114300" simplePos="0" relativeHeight="251658240" behindDoc="0" locked="0" layoutInCell="1" allowOverlap="1">
            <wp:simplePos x="0" y="0"/>
            <wp:positionH relativeFrom="page">
              <wp:posOffset>11137900</wp:posOffset>
            </wp:positionH>
            <wp:positionV relativeFrom="topMargin">
              <wp:posOffset>10642600</wp:posOffset>
            </wp:positionV>
            <wp:extent cx="406400" cy="355600"/>
            <wp:effectExtent l="0" t="0" r="0" b="0"/>
            <wp:wrapNone/>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8" cstate="print"/>
                    <a:stretch>
                      <a:fillRect/>
                    </a:stretch>
                  </pic:blipFill>
                  <pic:spPr>
                    <a:xfrm>
                      <a:off x="0" y="0"/>
                      <a:ext cx="406400" cy="355600"/>
                    </a:xfrm>
                    <a:prstGeom prst="rect">
                      <a:avLst/>
                    </a:prstGeom>
                  </pic:spPr>
                </pic:pic>
              </a:graphicData>
            </a:graphic>
          </wp:anchor>
        </w:drawing>
      </w:r>
      <w:r>
        <w:rPr>
          <w:rFonts w:eastAsia="黑体"/>
          <w:sz w:val="30"/>
        </w:rPr>
        <w:t>【赢在高考</w:t>
      </w:r>
      <w:r>
        <w:rPr>
          <w:rFonts w:eastAsia="黑体"/>
          <w:sz w:val="30"/>
        </w:rPr>
        <w:t>·</w:t>
      </w:r>
      <w:r>
        <w:rPr>
          <w:rFonts w:eastAsia="黑体"/>
          <w:sz w:val="30"/>
        </w:rPr>
        <w:t>黄金</w:t>
      </w:r>
      <w:r>
        <w:rPr>
          <w:rFonts w:eastAsia="黑体" w:hint="eastAsia"/>
          <w:sz w:val="30"/>
        </w:rPr>
        <w:t>8</w:t>
      </w:r>
      <w:r>
        <w:rPr>
          <w:rFonts w:eastAsia="黑体"/>
          <w:sz w:val="30"/>
        </w:rPr>
        <w:t>卷】备战</w:t>
      </w:r>
      <w:r>
        <w:rPr>
          <w:rFonts w:eastAsia="黑体"/>
          <w:sz w:val="30"/>
        </w:rPr>
        <w:t>2024</w:t>
      </w:r>
      <w:r>
        <w:rPr>
          <w:rFonts w:eastAsia="黑体"/>
          <w:sz w:val="30"/>
        </w:rPr>
        <w:t>年高考</w:t>
      </w:r>
      <w:r>
        <w:rPr>
          <w:rFonts w:eastAsia="黑体" w:hint="eastAsia"/>
          <w:sz w:val="30"/>
        </w:rPr>
        <w:t>政治</w:t>
      </w:r>
      <w:r>
        <w:rPr>
          <w:rFonts w:eastAsia="黑体"/>
          <w:sz w:val="30"/>
        </w:rPr>
        <w:t>模拟卷（</w:t>
      </w:r>
      <w:r>
        <w:rPr>
          <w:rFonts w:eastAsia="黑体" w:hint="eastAsia"/>
          <w:sz w:val="30"/>
        </w:rPr>
        <w:t>浙江</w:t>
      </w:r>
      <w:r>
        <w:rPr>
          <w:rFonts w:eastAsia="黑体"/>
          <w:sz w:val="30"/>
        </w:rPr>
        <w:t>专用）</w:t>
      </w:r>
    </w:p>
    <w:p w:rsidR="00EF5CB8" w:rsidRDefault="00510EA7">
      <w:pPr>
        <w:jc w:val="center"/>
        <w:rPr>
          <w:rFonts w:eastAsia="黑体"/>
          <w:b/>
          <w:sz w:val="36"/>
        </w:rPr>
      </w:pPr>
      <w:r>
        <w:rPr>
          <w:rFonts w:eastAsia="黑体"/>
          <w:sz w:val="30"/>
        </w:rPr>
        <w:t>黄金卷</w:t>
      </w:r>
      <w:r>
        <w:rPr>
          <w:rFonts w:eastAsia="黑体"/>
          <w:sz w:val="30"/>
        </w:rPr>
        <w:t>0</w:t>
      </w:r>
      <w:r>
        <w:rPr>
          <w:rFonts w:eastAsia="黑体" w:hint="eastAsia"/>
          <w:sz w:val="30"/>
        </w:rPr>
        <w:t>4</w:t>
      </w:r>
      <w:r>
        <w:rPr>
          <w:rFonts w:eastAsia="黑体" w:hint="eastAsia"/>
          <w:sz w:val="30"/>
        </w:rPr>
        <w:t>·参考答案</w:t>
      </w:r>
    </w:p>
    <w:p w:rsidR="00EF5CB8" w:rsidRDefault="00510EA7">
      <w:pPr>
        <w:adjustRightInd w:val="0"/>
        <w:spacing w:line="360" w:lineRule="auto"/>
        <w:jc w:val="center"/>
        <w:textAlignment w:val="center"/>
        <w:rPr>
          <w:rFonts w:eastAsia="楷体"/>
          <w:b/>
          <w:kern w:val="0"/>
        </w:rPr>
      </w:pPr>
      <w:r>
        <w:rPr>
          <w:rFonts w:ascii="楷体" w:eastAsia="楷体" w:hAnsi="楷体" w:hint="eastAsia"/>
          <w:b/>
          <w:kern w:val="0"/>
        </w:rPr>
        <w:t>（</w:t>
      </w:r>
      <w:r>
        <w:rPr>
          <w:rFonts w:ascii="楷体" w:eastAsia="楷体" w:hAnsi="楷体"/>
          <w:b/>
          <w:kern w:val="0"/>
        </w:rPr>
        <w:t>本卷共</w:t>
      </w:r>
      <w:r>
        <w:rPr>
          <w:rFonts w:eastAsia="楷体" w:hint="eastAsia"/>
          <w:b/>
          <w:kern w:val="0"/>
        </w:rPr>
        <w:t>33</w:t>
      </w:r>
      <w:r>
        <w:rPr>
          <w:rFonts w:ascii="楷体" w:eastAsia="楷体" w:hAnsi="楷体"/>
          <w:b/>
          <w:kern w:val="0"/>
        </w:rPr>
        <w:t>小题，满分</w:t>
      </w:r>
      <w:r>
        <w:rPr>
          <w:rFonts w:eastAsia="楷体"/>
          <w:b/>
          <w:kern w:val="0"/>
        </w:rPr>
        <w:t>100</w:t>
      </w:r>
      <w:r>
        <w:rPr>
          <w:rFonts w:ascii="楷体" w:eastAsia="楷体" w:hAnsi="楷体"/>
          <w:b/>
          <w:kern w:val="0"/>
        </w:rPr>
        <w:t>分，考试用时</w:t>
      </w:r>
      <w:r>
        <w:rPr>
          <w:rFonts w:eastAsia="楷体" w:hint="eastAsia"/>
          <w:b/>
          <w:kern w:val="0"/>
        </w:rPr>
        <w:t>90</w:t>
      </w:r>
      <w:r>
        <w:rPr>
          <w:rFonts w:ascii="楷体" w:eastAsia="楷体" w:hAnsi="楷体"/>
          <w:b/>
          <w:kern w:val="0"/>
        </w:rPr>
        <w:t>分钟</w:t>
      </w:r>
      <w:r>
        <w:rPr>
          <w:rFonts w:ascii="楷体" w:eastAsia="楷体" w:hAnsi="楷体" w:hint="eastAsia"/>
          <w:b/>
          <w:kern w:val="0"/>
        </w:rPr>
        <w:t>）</w:t>
      </w:r>
    </w:p>
    <w:p w:rsidR="00EF5CB8" w:rsidRDefault="00510EA7">
      <w:pPr>
        <w:spacing w:line="360" w:lineRule="auto"/>
        <w:jc w:val="left"/>
        <w:rPr>
          <w:rFonts w:ascii="宋体" w:hAnsi="宋体"/>
          <w:b/>
        </w:rPr>
      </w:pPr>
      <w:r>
        <w:rPr>
          <w:rFonts w:ascii="宋体" w:hAnsi="宋体" w:cs="宋体"/>
          <w:b/>
          <w:sz w:val="24"/>
        </w:rPr>
        <w:t>一、判断题（本大题共</w:t>
      </w:r>
      <w:r>
        <w:rPr>
          <w:rFonts w:ascii="宋体" w:hAnsi="宋体" w:cs="宋体"/>
          <w:b/>
          <w:sz w:val="24"/>
        </w:rPr>
        <w:t>5</w:t>
      </w:r>
      <w:r>
        <w:rPr>
          <w:rFonts w:ascii="宋体" w:hAnsi="宋体" w:cs="宋体"/>
          <w:b/>
          <w:sz w:val="24"/>
        </w:rPr>
        <w:t>小题，每小题</w:t>
      </w:r>
      <w:r>
        <w:rPr>
          <w:rFonts w:ascii="宋体" w:hAnsi="宋体" w:cs="宋体"/>
          <w:b/>
          <w:sz w:val="24"/>
        </w:rPr>
        <w:t>1</w:t>
      </w:r>
      <w:r>
        <w:rPr>
          <w:rFonts w:ascii="宋体" w:hAnsi="宋体" w:cs="宋体"/>
          <w:b/>
          <w:sz w:val="24"/>
        </w:rPr>
        <w:t>分，共</w:t>
      </w:r>
      <w:r>
        <w:rPr>
          <w:rFonts w:ascii="宋体" w:hAnsi="宋体" w:cs="宋体"/>
          <w:b/>
          <w:sz w:val="24"/>
        </w:rPr>
        <w:t>5</w:t>
      </w:r>
      <w:r>
        <w:rPr>
          <w:rFonts w:ascii="宋体" w:hAnsi="宋体" w:cs="宋体"/>
          <w:b/>
          <w:sz w:val="24"/>
        </w:rPr>
        <w:t>分。判断下列说法是否正确，用正确和错误表示）。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4"/>
        <w:gridCol w:w="725"/>
        <w:gridCol w:w="765"/>
        <w:gridCol w:w="823"/>
        <w:gridCol w:w="863"/>
      </w:tblGrid>
      <w:tr w:rsidR="00AE3BD0">
        <w:trPr>
          <w:trHeight w:val="472"/>
          <w:jc w:val="center"/>
        </w:trPr>
        <w:tc>
          <w:tcPr>
            <w:tcW w:w="864" w:type="dxa"/>
            <w:tcBorders>
              <w:top w:val="single" w:sz="4" w:space="0" w:color="auto"/>
              <w:left w:val="single" w:sz="4" w:space="0" w:color="auto"/>
              <w:bottom w:val="single" w:sz="4" w:space="0" w:color="auto"/>
              <w:right w:val="single" w:sz="4" w:space="0" w:color="auto"/>
            </w:tcBorders>
          </w:tcPr>
          <w:p w:rsidR="00EF5CB8" w:rsidRDefault="00510EA7">
            <w:pPr>
              <w:spacing w:line="360" w:lineRule="auto"/>
              <w:jc w:val="center"/>
              <w:textAlignment w:val="center"/>
              <w:rPr>
                <w:snapToGrid w:val="0"/>
                <w:kern w:val="0"/>
                <w:szCs w:val="21"/>
              </w:rPr>
            </w:pPr>
            <w:r>
              <w:rPr>
                <w:snapToGrid w:val="0"/>
                <w:kern w:val="0"/>
                <w:szCs w:val="21"/>
              </w:rPr>
              <w:t>1</w:t>
            </w:r>
          </w:p>
        </w:tc>
        <w:tc>
          <w:tcPr>
            <w:tcW w:w="725"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snapToGrid w:val="0"/>
                <w:kern w:val="0"/>
                <w:szCs w:val="21"/>
              </w:rPr>
              <w:t>2</w:t>
            </w:r>
          </w:p>
        </w:tc>
        <w:tc>
          <w:tcPr>
            <w:tcW w:w="765"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snapToGrid w:val="0"/>
                <w:kern w:val="0"/>
                <w:szCs w:val="21"/>
              </w:rPr>
              <w:t>3</w:t>
            </w:r>
          </w:p>
        </w:tc>
        <w:tc>
          <w:tcPr>
            <w:tcW w:w="823"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snapToGrid w:val="0"/>
                <w:kern w:val="0"/>
                <w:szCs w:val="21"/>
              </w:rPr>
              <w:t>4</w:t>
            </w:r>
          </w:p>
        </w:tc>
        <w:tc>
          <w:tcPr>
            <w:tcW w:w="863"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snapToGrid w:val="0"/>
                <w:kern w:val="0"/>
                <w:szCs w:val="21"/>
              </w:rPr>
              <w:t>5</w:t>
            </w:r>
          </w:p>
        </w:tc>
      </w:tr>
      <w:tr w:rsidR="00AE3BD0">
        <w:trPr>
          <w:trHeight w:val="472"/>
          <w:jc w:val="center"/>
        </w:trPr>
        <w:tc>
          <w:tcPr>
            <w:tcW w:w="864"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T</w:t>
            </w:r>
          </w:p>
        </w:tc>
        <w:tc>
          <w:tcPr>
            <w:tcW w:w="725"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F</w:t>
            </w:r>
          </w:p>
        </w:tc>
        <w:tc>
          <w:tcPr>
            <w:tcW w:w="765"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T</w:t>
            </w:r>
          </w:p>
        </w:tc>
        <w:tc>
          <w:tcPr>
            <w:tcW w:w="823"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F</w:t>
            </w:r>
          </w:p>
        </w:tc>
        <w:tc>
          <w:tcPr>
            <w:tcW w:w="863"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F</w:t>
            </w:r>
          </w:p>
        </w:tc>
      </w:tr>
    </w:tbl>
    <w:p w:rsidR="00EF5CB8" w:rsidRDefault="00EF5CB8">
      <w:pPr>
        <w:spacing w:line="360" w:lineRule="auto"/>
        <w:jc w:val="left"/>
        <w:textAlignment w:val="center"/>
        <w:rPr>
          <w:rFonts w:ascii="宋体" w:hAnsi="宋体"/>
          <w:b/>
          <w:sz w:val="24"/>
          <w:szCs w:val="24"/>
        </w:rPr>
      </w:pPr>
    </w:p>
    <w:p w:rsidR="00EF5CB8" w:rsidRDefault="00510EA7">
      <w:pPr>
        <w:spacing w:line="360" w:lineRule="auto"/>
        <w:jc w:val="left"/>
        <w:rPr>
          <w:rFonts w:ascii="宋体" w:hAnsi="宋体"/>
          <w:b/>
          <w:sz w:val="24"/>
          <w:szCs w:val="24"/>
        </w:rPr>
      </w:pPr>
      <w:r>
        <w:rPr>
          <w:rFonts w:ascii="宋体" w:hAnsi="宋体" w:cs="宋体"/>
          <w:b/>
          <w:color w:val="000000"/>
          <w:sz w:val="24"/>
        </w:rPr>
        <w:t>二、选择题</w:t>
      </w:r>
      <w:r>
        <w:rPr>
          <w:rFonts w:ascii="宋体" w:hAnsi="宋体" w:cs="宋体"/>
          <w:b/>
          <w:color w:val="000000"/>
          <w:sz w:val="24"/>
        </w:rPr>
        <w:t>I</w:t>
      </w:r>
      <w:r>
        <w:rPr>
          <w:rFonts w:ascii="宋体" w:hAnsi="宋体" w:cs="宋体"/>
          <w:b/>
          <w:color w:val="000000"/>
          <w:sz w:val="24"/>
        </w:rPr>
        <w:t>（本大题共</w:t>
      </w:r>
      <w:r>
        <w:rPr>
          <w:rFonts w:ascii="宋体" w:hAnsi="宋体" w:cs="宋体"/>
          <w:b/>
          <w:color w:val="000000"/>
          <w:sz w:val="24"/>
        </w:rPr>
        <w:t>16</w:t>
      </w:r>
      <w:r>
        <w:rPr>
          <w:rFonts w:ascii="宋体" w:hAnsi="宋体" w:cs="宋体"/>
          <w:b/>
          <w:color w:val="000000"/>
          <w:sz w:val="24"/>
        </w:rPr>
        <w:t>小题，每小题</w:t>
      </w:r>
      <w:r>
        <w:rPr>
          <w:rFonts w:ascii="宋体" w:hAnsi="宋体" w:cs="宋体"/>
          <w:b/>
          <w:color w:val="000000"/>
          <w:sz w:val="24"/>
        </w:rPr>
        <w:t>2</w:t>
      </w:r>
      <w:r>
        <w:rPr>
          <w:rFonts w:ascii="宋体" w:hAnsi="宋体" w:cs="宋体"/>
          <w:b/>
          <w:color w:val="000000"/>
          <w:sz w:val="24"/>
        </w:rPr>
        <w:t>分，共</w:t>
      </w:r>
      <w:r>
        <w:rPr>
          <w:rFonts w:ascii="宋体" w:hAnsi="宋体" w:cs="宋体"/>
          <w:b/>
          <w:color w:val="000000"/>
          <w:sz w:val="24"/>
        </w:rPr>
        <w:t>32</w:t>
      </w:r>
      <w:r>
        <w:rPr>
          <w:rFonts w:ascii="宋体" w:hAnsi="宋体" w:cs="宋体"/>
          <w:b/>
          <w:color w:val="000000"/>
          <w:sz w:val="24"/>
        </w:rPr>
        <w:t>分。每小题列出的四个备选项中只有一个是符合题目要求的，不选、多选、错选均不得分）。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4"/>
        <w:gridCol w:w="725"/>
        <w:gridCol w:w="765"/>
        <w:gridCol w:w="823"/>
        <w:gridCol w:w="863"/>
        <w:gridCol w:w="864"/>
        <w:gridCol w:w="724"/>
        <w:gridCol w:w="724"/>
      </w:tblGrid>
      <w:tr w:rsidR="00AE3BD0">
        <w:trPr>
          <w:trHeight w:val="472"/>
          <w:jc w:val="center"/>
        </w:trPr>
        <w:tc>
          <w:tcPr>
            <w:tcW w:w="864" w:type="dxa"/>
            <w:tcBorders>
              <w:top w:val="single" w:sz="4" w:space="0" w:color="auto"/>
              <w:left w:val="single" w:sz="4" w:space="0" w:color="auto"/>
              <w:bottom w:val="single" w:sz="4" w:space="0" w:color="auto"/>
              <w:right w:val="single" w:sz="4" w:space="0" w:color="auto"/>
            </w:tcBorders>
          </w:tcPr>
          <w:p w:rsidR="00EF5CB8" w:rsidRDefault="00510EA7">
            <w:pPr>
              <w:spacing w:line="360" w:lineRule="auto"/>
              <w:jc w:val="center"/>
              <w:textAlignment w:val="center"/>
              <w:rPr>
                <w:snapToGrid w:val="0"/>
                <w:kern w:val="0"/>
                <w:szCs w:val="21"/>
              </w:rPr>
            </w:pPr>
            <w:r>
              <w:rPr>
                <w:rFonts w:hint="eastAsia"/>
                <w:snapToGrid w:val="0"/>
                <w:kern w:val="0"/>
                <w:szCs w:val="21"/>
              </w:rPr>
              <w:t>6</w:t>
            </w:r>
          </w:p>
        </w:tc>
        <w:tc>
          <w:tcPr>
            <w:tcW w:w="725"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7</w:t>
            </w:r>
          </w:p>
        </w:tc>
        <w:tc>
          <w:tcPr>
            <w:tcW w:w="765"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8</w:t>
            </w:r>
          </w:p>
        </w:tc>
        <w:tc>
          <w:tcPr>
            <w:tcW w:w="823"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9</w:t>
            </w:r>
          </w:p>
        </w:tc>
        <w:tc>
          <w:tcPr>
            <w:tcW w:w="863"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10</w:t>
            </w:r>
          </w:p>
        </w:tc>
        <w:tc>
          <w:tcPr>
            <w:tcW w:w="864"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11</w:t>
            </w:r>
          </w:p>
        </w:tc>
        <w:tc>
          <w:tcPr>
            <w:tcW w:w="724"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12</w:t>
            </w:r>
          </w:p>
        </w:tc>
        <w:tc>
          <w:tcPr>
            <w:tcW w:w="724"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13</w:t>
            </w:r>
          </w:p>
        </w:tc>
      </w:tr>
      <w:tr w:rsidR="00AE3BD0">
        <w:trPr>
          <w:trHeight w:val="472"/>
          <w:jc w:val="center"/>
        </w:trPr>
        <w:tc>
          <w:tcPr>
            <w:tcW w:w="864"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A</w:t>
            </w:r>
          </w:p>
        </w:tc>
        <w:tc>
          <w:tcPr>
            <w:tcW w:w="725"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A</w:t>
            </w:r>
          </w:p>
        </w:tc>
        <w:tc>
          <w:tcPr>
            <w:tcW w:w="765"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C</w:t>
            </w:r>
          </w:p>
        </w:tc>
        <w:tc>
          <w:tcPr>
            <w:tcW w:w="823"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A</w:t>
            </w:r>
          </w:p>
        </w:tc>
        <w:tc>
          <w:tcPr>
            <w:tcW w:w="863"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C</w:t>
            </w:r>
          </w:p>
        </w:tc>
        <w:tc>
          <w:tcPr>
            <w:tcW w:w="864"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D</w:t>
            </w:r>
          </w:p>
        </w:tc>
        <w:tc>
          <w:tcPr>
            <w:tcW w:w="724"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D</w:t>
            </w:r>
          </w:p>
        </w:tc>
        <w:tc>
          <w:tcPr>
            <w:tcW w:w="724"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D</w:t>
            </w:r>
          </w:p>
        </w:tc>
      </w:tr>
      <w:tr w:rsidR="00AE3BD0">
        <w:trPr>
          <w:trHeight w:val="472"/>
          <w:jc w:val="center"/>
        </w:trPr>
        <w:tc>
          <w:tcPr>
            <w:tcW w:w="864"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14</w:t>
            </w:r>
          </w:p>
        </w:tc>
        <w:tc>
          <w:tcPr>
            <w:tcW w:w="725"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15</w:t>
            </w:r>
          </w:p>
        </w:tc>
        <w:tc>
          <w:tcPr>
            <w:tcW w:w="765"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16</w:t>
            </w:r>
          </w:p>
        </w:tc>
        <w:tc>
          <w:tcPr>
            <w:tcW w:w="823"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17</w:t>
            </w:r>
          </w:p>
        </w:tc>
        <w:tc>
          <w:tcPr>
            <w:tcW w:w="863"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18</w:t>
            </w:r>
          </w:p>
        </w:tc>
        <w:tc>
          <w:tcPr>
            <w:tcW w:w="864"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19</w:t>
            </w:r>
          </w:p>
        </w:tc>
        <w:tc>
          <w:tcPr>
            <w:tcW w:w="724"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20</w:t>
            </w:r>
          </w:p>
        </w:tc>
        <w:tc>
          <w:tcPr>
            <w:tcW w:w="724"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21</w:t>
            </w:r>
          </w:p>
        </w:tc>
      </w:tr>
      <w:tr w:rsidR="00AE3BD0">
        <w:trPr>
          <w:trHeight w:val="472"/>
          <w:jc w:val="center"/>
        </w:trPr>
        <w:tc>
          <w:tcPr>
            <w:tcW w:w="864"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B</w:t>
            </w:r>
          </w:p>
        </w:tc>
        <w:tc>
          <w:tcPr>
            <w:tcW w:w="725"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A</w:t>
            </w:r>
          </w:p>
        </w:tc>
        <w:tc>
          <w:tcPr>
            <w:tcW w:w="765"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D</w:t>
            </w:r>
          </w:p>
        </w:tc>
        <w:tc>
          <w:tcPr>
            <w:tcW w:w="823"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C</w:t>
            </w:r>
          </w:p>
        </w:tc>
        <w:tc>
          <w:tcPr>
            <w:tcW w:w="863"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B</w:t>
            </w:r>
          </w:p>
        </w:tc>
        <w:tc>
          <w:tcPr>
            <w:tcW w:w="864"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B</w:t>
            </w:r>
          </w:p>
        </w:tc>
        <w:tc>
          <w:tcPr>
            <w:tcW w:w="724"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B</w:t>
            </w:r>
          </w:p>
        </w:tc>
        <w:tc>
          <w:tcPr>
            <w:tcW w:w="724"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A</w:t>
            </w:r>
          </w:p>
        </w:tc>
      </w:tr>
    </w:tbl>
    <w:p w:rsidR="00EF5CB8" w:rsidRDefault="00EF5CB8">
      <w:pPr>
        <w:spacing w:line="360" w:lineRule="auto"/>
        <w:jc w:val="left"/>
        <w:textAlignment w:val="center"/>
        <w:rPr>
          <w:rFonts w:ascii="宋体" w:hAnsi="宋体"/>
          <w:b/>
          <w:sz w:val="24"/>
          <w:szCs w:val="24"/>
        </w:rPr>
      </w:pPr>
    </w:p>
    <w:p w:rsidR="00EF5CB8" w:rsidRDefault="00510EA7">
      <w:pPr>
        <w:spacing w:line="360" w:lineRule="auto"/>
        <w:jc w:val="left"/>
        <w:textAlignment w:val="center"/>
        <w:rPr>
          <w:color w:val="000000"/>
        </w:rPr>
      </w:pPr>
      <w:r>
        <w:rPr>
          <w:rFonts w:ascii="宋体" w:hAnsi="宋体" w:cs="宋体"/>
          <w:b/>
          <w:color w:val="000000"/>
          <w:sz w:val="24"/>
        </w:rPr>
        <w:t>三、选择题</w:t>
      </w:r>
      <w:r>
        <w:rPr>
          <w:rFonts w:ascii="宋体" w:hAnsi="宋体" w:cs="宋体"/>
          <w:b/>
          <w:color w:val="000000"/>
          <w:sz w:val="24"/>
        </w:rPr>
        <w:t>II</w:t>
      </w:r>
      <w:r>
        <w:rPr>
          <w:rFonts w:ascii="宋体" w:hAnsi="宋体" w:cs="宋体"/>
          <w:b/>
          <w:color w:val="000000"/>
          <w:sz w:val="24"/>
        </w:rPr>
        <w:t>（本大题共</w:t>
      </w:r>
      <w:r>
        <w:rPr>
          <w:rFonts w:ascii="宋体" w:hAnsi="宋体" w:cs="宋体"/>
          <w:b/>
          <w:color w:val="000000"/>
          <w:sz w:val="24"/>
        </w:rPr>
        <w:t>7</w:t>
      </w:r>
      <w:r>
        <w:rPr>
          <w:rFonts w:ascii="宋体" w:hAnsi="宋体" w:cs="宋体"/>
          <w:b/>
          <w:color w:val="000000"/>
          <w:sz w:val="24"/>
        </w:rPr>
        <w:t>小题，每小题</w:t>
      </w:r>
      <w:r>
        <w:rPr>
          <w:rFonts w:ascii="宋体" w:hAnsi="宋体" w:cs="宋体"/>
          <w:b/>
          <w:color w:val="000000"/>
          <w:sz w:val="24"/>
        </w:rPr>
        <w:t>3</w:t>
      </w:r>
      <w:r>
        <w:rPr>
          <w:rFonts w:ascii="宋体" w:hAnsi="宋体" w:cs="宋体"/>
          <w:b/>
          <w:color w:val="000000"/>
          <w:sz w:val="24"/>
        </w:rPr>
        <w:t>分，共</w:t>
      </w:r>
      <w:r>
        <w:rPr>
          <w:rFonts w:ascii="宋体" w:hAnsi="宋体" w:cs="宋体"/>
          <w:b/>
          <w:color w:val="000000"/>
          <w:sz w:val="24"/>
        </w:rPr>
        <w:t>21</w:t>
      </w:r>
      <w:r>
        <w:rPr>
          <w:rFonts w:ascii="宋体" w:hAnsi="宋体" w:cs="宋体"/>
          <w:b/>
          <w:color w:val="000000"/>
          <w:sz w:val="24"/>
        </w:rPr>
        <w:t>分。每小题列出的四个备选项中只有一个是符合题目要求的，不选、多选、错选均不得分）。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4"/>
        <w:gridCol w:w="725"/>
        <w:gridCol w:w="765"/>
        <w:gridCol w:w="823"/>
        <w:gridCol w:w="863"/>
        <w:gridCol w:w="864"/>
        <w:gridCol w:w="724"/>
      </w:tblGrid>
      <w:tr w:rsidR="00AE3BD0">
        <w:trPr>
          <w:trHeight w:val="472"/>
          <w:jc w:val="center"/>
        </w:trPr>
        <w:tc>
          <w:tcPr>
            <w:tcW w:w="864" w:type="dxa"/>
            <w:tcBorders>
              <w:top w:val="single" w:sz="4" w:space="0" w:color="auto"/>
              <w:left w:val="single" w:sz="4" w:space="0" w:color="auto"/>
              <w:bottom w:val="single" w:sz="4" w:space="0" w:color="auto"/>
              <w:right w:val="single" w:sz="4" w:space="0" w:color="auto"/>
            </w:tcBorders>
          </w:tcPr>
          <w:p w:rsidR="00EF5CB8" w:rsidRDefault="00510EA7">
            <w:pPr>
              <w:spacing w:line="360" w:lineRule="auto"/>
              <w:jc w:val="center"/>
              <w:textAlignment w:val="center"/>
              <w:rPr>
                <w:snapToGrid w:val="0"/>
                <w:kern w:val="0"/>
                <w:szCs w:val="21"/>
              </w:rPr>
            </w:pPr>
            <w:r>
              <w:rPr>
                <w:rFonts w:hint="eastAsia"/>
                <w:snapToGrid w:val="0"/>
                <w:kern w:val="0"/>
                <w:szCs w:val="21"/>
              </w:rPr>
              <w:t>22</w:t>
            </w:r>
          </w:p>
        </w:tc>
        <w:tc>
          <w:tcPr>
            <w:tcW w:w="725"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23</w:t>
            </w:r>
          </w:p>
        </w:tc>
        <w:tc>
          <w:tcPr>
            <w:tcW w:w="765"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24</w:t>
            </w:r>
          </w:p>
        </w:tc>
        <w:tc>
          <w:tcPr>
            <w:tcW w:w="823"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25</w:t>
            </w:r>
          </w:p>
        </w:tc>
        <w:tc>
          <w:tcPr>
            <w:tcW w:w="863"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26</w:t>
            </w:r>
          </w:p>
        </w:tc>
        <w:tc>
          <w:tcPr>
            <w:tcW w:w="864"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27</w:t>
            </w:r>
          </w:p>
        </w:tc>
        <w:tc>
          <w:tcPr>
            <w:tcW w:w="724"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28</w:t>
            </w:r>
          </w:p>
        </w:tc>
      </w:tr>
      <w:tr w:rsidR="00AE3BD0">
        <w:trPr>
          <w:trHeight w:val="472"/>
          <w:jc w:val="center"/>
        </w:trPr>
        <w:tc>
          <w:tcPr>
            <w:tcW w:w="864"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D</w:t>
            </w:r>
          </w:p>
        </w:tc>
        <w:tc>
          <w:tcPr>
            <w:tcW w:w="725"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C</w:t>
            </w:r>
          </w:p>
        </w:tc>
        <w:tc>
          <w:tcPr>
            <w:tcW w:w="765"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B</w:t>
            </w:r>
          </w:p>
        </w:tc>
        <w:tc>
          <w:tcPr>
            <w:tcW w:w="823"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B</w:t>
            </w:r>
          </w:p>
        </w:tc>
        <w:tc>
          <w:tcPr>
            <w:tcW w:w="863"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C</w:t>
            </w:r>
          </w:p>
        </w:tc>
        <w:tc>
          <w:tcPr>
            <w:tcW w:w="864"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B</w:t>
            </w:r>
          </w:p>
        </w:tc>
        <w:tc>
          <w:tcPr>
            <w:tcW w:w="724" w:type="dxa"/>
            <w:tcBorders>
              <w:top w:val="single" w:sz="4" w:space="0" w:color="auto"/>
              <w:left w:val="single" w:sz="4" w:space="0" w:color="auto"/>
              <w:bottom w:val="single" w:sz="4" w:space="0" w:color="auto"/>
              <w:right w:val="single" w:sz="4" w:space="0" w:color="auto"/>
            </w:tcBorders>
          </w:tcPr>
          <w:p w:rsidR="00EF5CB8" w:rsidRDefault="00510EA7">
            <w:pPr>
              <w:wordWrap w:val="0"/>
              <w:spacing w:line="360" w:lineRule="auto"/>
              <w:jc w:val="center"/>
              <w:textAlignment w:val="center"/>
              <w:rPr>
                <w:snapToGrid w:val="0"/>
                <w:kern w:val="0"/>
                <w:szCs w:val="21"/>
              </w:rPr>
            </w:pPr>
            <w:r>
              <w:rPr>
                <w:rFonts w:hint="eastAsia"/>
                <w:snapToGrid w:val="0"/>
                <w:kern w:val="0"/>
                <w:szCs w:val="21"/>
              </w:rPr>
              <w:t>B</w:t>
            </w:r>
          </w:p>
        </w:tc>
      </w:tr>
    </w:tbl>
    <w:p w:rsidR="00EF5CB8" w:rsidRDefault="00EF5CB8">
      <w:pPr>
        <w:spacing w:line="360" w:lineRule="auto"/>
        <w:jc w:val="left"/>
        <w:textAlignment w:val="center"/>
        <w:rPr>
          <w:rFonts w:ascii="宋体" w:hAnsi="宋体"/>
          <w:b/>
          <w:sz w:val="24"/>
          <w:szCs w:val="24"/>
        </w:rPr>
      </w:pPr>
    </w:p>
    <w:p w:rsidR="00EF5CB8" w:rsidRDefault="00510EA7">
      <w:pPr>
        <w:spacing w:line="360" w:lineRule="auto"/>
        <w:jc w:val="left"/>
        <w:textAlignment w:val="center"/>
        <w:rPr>
          <w:color w:val="000000"/>
        </w:rPr>
      </w:pPr>
      <w:r>
        <w:rPr>
          <w:rFonts w:ascii="宋体" w:hAnsi="宋体" w:cs="宋体"/>
          <w:b/>
          <w:color w:val="000000"/>
          <w:sz w:val="24"/>
        </w:rPr>
        <w:t>四、综合题（本大题共</w:t>
      </w:r>
      <w:r>
        <w:rPr>
          <w:rFonts w:ascii="宋体" w:hAnsi="宋体" w:cs="宋体"/>
          <w:b/>
          <w:color w:val="000000"/>
          <w:sz w:val="24"/>
        </w:rPr>
        <w:t>5</w:t>
      </w:r>
      <w:r>
        <w:rPr>
          <w:rFonts w:ascii="宋体" w:hAnsi="宋体" w:cs="宋体"/>
          <w:b/>
          <w:color w:val="000000"/>
          <w:sz w:val="24"/>
        </w:rPr>
        <w:t>小题，共</w:t>
      </w:r>
      <w:r>
        <w:rPr>
          <w:rFonts w:ascii="宋体" w:hAnsi="宋体" w:cs="宋体"/>
          <w:b/>
          <w:color w:val="000000"/>
          <w:sz w:val="24"/>
        </w:rPr>
        <w:t>42</w:t>
      </w:r>
      <w:r>
        <w:rPr>
          <w:rFonts w:ascii="宋体" w:hAnsi="宋体" w:cs="宋体"/>
          <w:b/>
          <w:color w:val="000000"/>
          <w:sz w:val="24"/>
        </w:rPr>
        <w:t>分）。</w:t>
      </w:r>
    </w:p>
    <w:p w:rsidR="00EF5CB8" w:rsidRPr="00510D1D" w:rsidRDefault="00510EA7">
      <w:pPr>
        <w:spacing w:line="360" w:lineRule="auto"/>
        <w:rPr>
          <w:rFonts w:ascii="宋体" w:hAnsi="宋体"/>
        </w:rPr>
      </w:pPr>
      <w:r w:rsidRPr="00510D1D">
        <w:rPr>
          <w:rFonts w:hint="eastAsia"/>
        </w:rPr>
        <w:t>29</w:t>
      </w:r>
      <w:r w:rsidRPr="00510D1D">
        <w:t>．</w:t>
      </w:r>
      <w:r w:rsidRPr="00510D1D">
        <w:rPr>
          <w:rFonts w:hint="eastAsia"/>
        </w:rPr>
        <w:t>（</w:t>
      </w:r>
      <w:r w:rsidRPr="00510D1D">
        <w:rPr>
          <w:rFonts w:hint="eastAsia"/>
        </w:rPr>
        <w:t>9</w:t>
      </w:r>
      <w:r w:rsidRPr="00510D1D">
        <w:rPr>
          <w:rFonts w:hint="eastAsia"/>
        </w:rPr>
        <w:t>分）</w:t>
      </w:r>
      <w:r w:rsidRPr="00510D1D">
        <w:rPr>
          <w:rFonts w:ascii="宋体" w:hAnsi="宋体" w:hint="eastAsia"/>
        </w:rPr>
        <w:t>【答案】</w:t>
      </w:r>
      <w:r w:rsidRPr="00510D1D">
        <w:rPr>
          <w:rFonts w:ascii="宋体" w:hAnsi="宋体" w:hint="eastAsia"/>
        </w:rPr>
        <w:t>(1)</w:t>
      </w:r>
      <w:r w:rsidRPr="00510D1D">
        <w:rPr>
          <w:rFonts w:ascii="宋体" w:hAnsi="宋体" w:hint="eastAsia"/>
        </w:rPr>
        <w:t>出台全国首部医疗保障领域综合性法规，制定中医药精神卫生等条例，行使了立法权；开展相关执法检查，推动省政府加强疾病预防控制、医疗机构救治能力和应急物资保障等体系建设，行使了监督权；</w:t>
      </w:r>
      <w:proofErr w:type="gramStart"/>
      <w:r w:rsidRPr="00510D1D">
        <w:rPr>
          <w:rFonts w:ascii="宋体" w:hAnsi="宋体" w:hint="eastAsia"/>
        </w:rPr>
        <w:t>作出</w:t>
      </w:r>
      <w:proofErr w:type="gramEnd"/>
      <w:r w:rsidRPr="00510D1D">
        <w:rPr>
          <w:rFonts w:ascii="宋体" w:hAnsi="宋体" w:hint="eastAsia"/>
        </w:rPr>
        <w:t>促进县域医疗卫生服务共同体健康发展的决定，行使了决定权。（</w:t>
      </w:r>
      <w:r w:rsidRPr="00510D1D">
        <w:rPr>
          <w:rFonts w:ascii="宋体" w:hAnsi="宋体" w:hint="eastAsia"/>
        </w:rPr>
        <w:t>6</w:t>
      </w:r>
      <w:r w:rsidRPr="00510D1D">
        <w:rPr>
          <w:rFonts w:ascii="宋体" w:hAnsi="宋体" w:hint="eastAsia"/>
        </w:rPr>
        <w:t>分）</w:t>
      </w:r>
      <w:r w:rsidRPr="00510D1D">
        <w:rPr>
          <w:rFonts w:ascii="宋体" w:hAnsi="宋体" w:hint="eastAsia"/>
        </w:rPr>
        <w:t xml:space="preserve">   </w:t>
      </w:r>
    </w:p>
    <w:p w:rsidR="00EF5CB8" w:rsidRPr="00510D1D" w:rsidRDefault="00510EA7">
      <w:pPr>
        <w:spacing w:line="360" w:lineRule="auto"/>
        <w:rPr>
          <w:rFonts w:ascii="宋体" w:hAnsi="宋体"/>
        </w:rPr>
      </w:pPr>
      <w:r w:rsidRPr="00510D1D">
        <w:rPr>
          <w:rFonts w:ascii="宋体" w:hAnsi="宋体" w:hint="eastAsia"/>
        </w:rPr>
        <w:t>(2)</w:t>
      </w:r>
      <w:r w:rsidRPr="00510D1D">
        <w:rPr>
          <w:rFonts w:ascii="宋体" w:hAnsi="宋体" w:hint="eastAsia"/>
        </w:rPr>
        <w:t>①制作和发放调查问卷，收集人民对自身生命健康安全方面的看法和诉求。②帮助所在地方的人大和政府宣传国家维护人民生命健康安全方面的法律法规。③深入社区和农村进行调查走访，了解人民生命健康安全相关法律法规的具体落实情况。（</w:t>
      </w:r>
      <w:r w:rsidRPr="00510D1D">
        <w:rPr>
          <w:rFonts w:ascii="宋体" w:hAnsi="宋体" w:hint="eastAsia"/>
        </w:rPr>
        <w:t>3</w:t>
      </w:r>
      <w:r w:rsidRPr="00510D1D">
        <w:rPr>
          <w:rFonts w:ascii="宋体" w:hAnsi="宋体" w:hint="eastAsia"/>
        </w:rPr>
        <w:t>分）</w:t>
      </w:r>
    </w:p>
    <w:p w:rsidR="00EF5CB8" w:rsidRPr="00510D1D" w:rsidRDefault="00EF5CB8">
      <w:pPr>
        <w:spacing w:line="360" w:lineRule="auto"/>
        <w:rPr>
          <w:rFonts w:ascii="宋体" w:hAnsi="宋体"/>
          <w:b/>
          <w:bCs/>
        </w:rPr>
      </w:pPr>
    </w:p>
    <w:p w:rsidR="00EF5CB8" w:rsidRPr="00510D1D" w:rsidRDefault="00510EA7">
      <w:pPr>
        <w:spacing w:line="360" w:lineRule="auto"/>
        <w:rPr>
          <w:rFonts w:ascii="宋体" w:hAnsi="宋体"/>
        </w:rPr>
      </w:pPr>
      <w:r w:rsidRPr="00510D1D">
        <w:rPr>
          <w:rFonts w:ascii="宋体" w:hAnsi="宋体" w:hint="eastAsia"/>
        </w:rPr>
        <w:t>30</w:t>
      </w:r>
      <w:r w:rsidRPr="00510D1D">
        <w:rPr>
          <w:rFonts w:ascii="宋体" w:hAnsi="宋体" w:hint="eastAsia"/>
        </w:rPr>
        <w:t>．</w:t>
      </w:r>
      <w:r w:rsidRPr="00510D1D">
        <w:rPr>
          <w:rFonts w:hint="eastAsia"/>
        </w:rPr>
        <w:t>（</w:t>
      </w:r>
      <w:r w:rsidRPr="00510D1D">
        <w:rPr>
          <w:rFonts w:hint="eastAsia"/>
        </w:rPr>
        <w:t>9</w:t>
      </w:r>
      <w:r w:rsidRPr="00510D1D">
        <w:rPr>
          <w:rFonts w:hint="eastAsia"/>
        </w:rPr>
        <w:t>分）</w:t>
      </w:r>
      <w:r w:rsidRPr="00510D1D">
        <w:rPr>
          <w:rFonts w:ascii="宋体" w:hAnsi="宋体" w:hint="eastAsia"/>
        </w:rPr>
        <w:t>【答案】</w:t>
      </w:r>
      <w:r w:rsidRPr="00510D1D">
        <w:rPr>
          <w:rFonts w:ascii="宋体" w:hAnsi="宋体" w:hint="eastAsia"/>
        </w:rPr>
        <w:t>(1</w:t>
      </w:r>
      <w:r w:rsidRPr="00510D1D">
        <w:rPr>
          <w:rFonts w:ascii="宋体" w:hAnsi="宋体" w:hint="eastAsia"/>
        </w:rPr>
        <w:t>)</w:t>
      </w:r>
      <w:r w:rsidRPr="00510D1D">
        <w:rPr>
          <w:rFonts w:ascii="宋体" w:hAnsi="宋体" w:hint="eastAsia"/>
        </w:rPr>
        <w:t>①有利于坚持以人民为中心的发展理念，</w:t>
      </w:r>
      <w:proofErr w:type="gramStart"/>
      <w:r w:rsidRPr="00510D1D">
        <w:rPr>
          <w:rFonts w:ascii="宋体" w:hAnsi="宋体" w:hint="eastAsia"/>
        </w:rPr>
        <w:t>文旅产业</w:t>
      </w:r>
      <w:proofErr w:type="gramEnd"/>
      <w:r w:rsidRPr="00510D1D">
        <w:rPr>
          <w:rFonts w:ascii="宋体" w:hAnsi="宋体" w:hint="eastAsia"/>
        </w:rPr>
        <w:t>，是能够满足人们“诗和远方”</w:t>
      </w:r>
      <w:r w:rsidRPr="00510D1D">
        <w:rPr>
          <w:rFonts w:ascii="宋体" w:hAnsi="宋体" w:hint="eastAsia"/>
        </w:rPr>
        <w:lastRenderedPageBreak/>
        <w:t>需求的高雅产业，维护了人民的利益。②有利于贯彻落实创新发展理念，</w:t>
      </w:r>
      <w:proofErr w:type="gramStart"/>
      <w:r w:rsidRPr="00510D1D">
        <w:rPr>
          <w:rFonts w:ascii="宋体" w:hAnsi="宋体" w:hint="eastAsia"/>
        </w:rPr>
        <w:t>文旅产业</w:t>
      </w:r>
      <w:proofErr w:type="gramEnd"/>
      <w:r w:rsidRPr="00510D1D">
        <w:rPr>
          <w:rFonts w:ascii="宋体" w:hAnsi="宋体" w:hint="eastAsia"/>
        </w:rPr>
        <w:t>是创新创业活力强、科技赋能动力足的高端产业，可以促进创新。③有利于贯彻落实共享的发展理念，</w:t>
      </w:r>
      <w:proofErr w:type="gramStart"/>
      <w:r w:rsidRPr="00510D1D">
        <w:rPr>
          <w:rFonts w:ascii="宋体" w:hAnsi="宋体" w:hint="eastAsia"/>
        </w:rPr>
        <w:t>文旅产业使</w:t>
      </w:r>
      <w:proofErr w:type="gramEnd"/>
      <w:r w:rsidRPr="00510D1D">
        <w:rPr>
          <w:rFonts w:ascii="宋体" w:hAnsi="宋体" w:hint="eastAsia"/>
        </w:rPr>
        <w:t>人民有更多的获得感、幸福感。④有利于贯彻落实绿色的发展理念，</w:t>
      </w:r>
      <w:proofErr w:type="gramStart"/>
      <w:r w:rsidRPr="00510D1D">
        <w:rPr>
          <w:rFonts w:ascii="宋体" w:hAnsi="宋体" w:hint="eastAsia"/>
        </w:rPr>
        <w:t>文旅产业</w:t>
      </w:r>
      <w:proofErr w:type="gramEnd"/>
      <w:r w:rsidRPr="00510D1D">
        <w:rPr>
          <w:rFonts w:ascii="宋体" w:hAnsi="宋体" w:hint="eastAsia"/>
        </w:rPr>
        <w:t>低能耗、低污染的清洁产业，保护环境。（</w:t>
      </w:r>
      <w:r w:rsidRPr="00510D1D">
        <w:rPr>
          <w:rFonts w:ascii="宋体" w:hAnsi="宋体" w:hint="eastAsia"/>
        </w:rPr>
        <w:t>3</w:t>
      </w:r>
      <w:r w:rsidRPr="00510D1D">
        <w:rPr>
          <w:rFonts w:ascii="宋体" w:hAnsi="宋体" w:hint="eastAsia"/>
        </w:rPr>
        <w:t>分）</w:t>
      </w:r>
    </w:p>
    <w:p w:rsidR="00EF5CB8" w:rsidRPr="00510D1D" w:rsidRDefault="00510EA7">
      <w:pPr>
        <w:spacing w:line="360" w:lineRule="auto"/>
        <w:rPr>
          <w:rFonts w:ascii="宋体" w:hAnsi="宋体"/>
        </w:rPr>
      </w:pPr>
      <w:r w:rsidRPr="00510D1D">
        <w:rPr>
          <w:rFonts w:ascii="宋体" w:hAnsi="宋体" w:hint="eastAsia"/>
        </w:rPr>
        <w:t>(2)</w:t>
      </w:r>
      <w:r w:rsidRPr="00510D1D">
        <w:rPr>
          <w:rFonts w:ascii="宋体" w:hAnsi="宋体" w:hint="eastAsia"/>
        </w:rPr>
        <w:t>具体问题具体分析是在矛盾普遍性原理的指导下，具体分析矛盾的特殊性，并找出解决矛盾的具体方法。具体问题具体分析是正确认识事物的前提，也是解决问题的关</w:t>
      </w:r>
      <w:r w:rsidRPr="00510D1D">
        <w:rPr>
          <w:rFonts w:ascii="宋体" w:hAnsi="宋体" w:hint="eastAsia"/>
        </w:rPr>
        <w:t>键。河南依托古都洛阳等地的深厚文化资源，打造出《唐宫夜宴》等一系列节目，宁夏积极打造的</w:t>
      </w:r>
      <w:proofErr w:type="gramStart"/>
      <w:r w:rsidRPr="00510D1D">
        <w:rPr>
          <w:rFonts w:ascii="宋体" w:hAnsi="宋体" w:hint="eastAsia"/>
        </w:rPr>
        <w:t>特色文旅品牌</w:t>
      </w:r>
      <w:proofErr w:type="gramEnd"/>
      <w:r w:rsidRPr="00510D1D">
        <w:rPr>
          <w:rFonts w:ascii="宋体" w:hAnsi="宋体" w:hint="eastAsia"/>
        </w:rPr>
        <w:t>，都坚持了具体问题具体分析。（</w:t>
      </w:r>
      <w:r w:rsidRPr="00510D1D">
        <w:rPr>
          <w:rFonts w:ascii="宋体" w:hAnsi="宋体" w:hint="eastAsia"/>
        </w:rPr>
        <w:t>6</w:t>
      </w:r>
      <w:r w:rsidRPr="00510D1D">
        <w:rPr>
          <w:rFonts w:ascii="宋体" w:hAnsi="宋体" w:hint="eastAsia"/>
        </w:rPr>
        <w:t>分）</w:t>
      </w:r>
    </w:p>
    <w:p w:rsidR="00EF5CB8" w:rsidRPr="00510D1D" w:rsidRDefault="00EF5CB8">
      <w:pPr>
        <w:spacing w:line="360" w:lineRule="auto"/>
        <w:rPr>
          <w:rFonts w:ascii="宋体" w:hAnsi="宋体"/>
        </w:rPr>
      </w:pPr>
    </w:p>
    <w:p w:rsidR="00EF5CB8" w:rsidRPr="00510D1D" w:rsidRDefault="00510EA7">
      <w:pPr>
        <w:spacing w:line="360" w:lineRule="auto"/>
        <w:rPr>
          <w:rFonts w:ascii="宋体" w:hAnsi="宋体"/>
        </w:rPr>
      </w:pPr>
      <w:r w:rsidRPr="00510D1D">
        <w:rPr>
          <w:rFonts w:ascii="宋体" w:hAnsi="宋体" w:hint="eastAsia"/>
        </w:rPr>
        <w:t>31</w:t>
      </w:r>
      <w:r w:rsidRPr="00510D1D">
        <w:rPr>
          <w:rFonts w:ascii="宋体" w:hAnsi="宋体" w:hint="eastAsia"/>
        </w:rPr>
        <w:t>．</w:t>
      </w:r>
      <w:r w:rsidRPr="00510D1D">
        <w:rPr>
          <w:rFonts w:hint="eastAsia"/>
        </w:rPr>
        <w:t>（</w:t>
      </w:r>
      <w:r w:rsidRPr="00510D1D">
        <w:rPr>
          <w:rFonts w:hint="eastAsia"/>
        </w:rPr>
        <w:t>9</w:t>
      </w:r>
      <w:r w:rsidRPr="00510D1D">
        <w:rPr>
          <w:rFonts w:hint="eastAsia"/>
        </w:rPr>
        <w:t>分）</w:t>
      </w:r>
      <w:r w:rsidRPr="00510D1D">
        <w:rPr>
          <w:rFonts w:ascii="宋体" w:hAnsi="宋体" w:hint="eastAsia"/>
        </w:rPr>
        <w:t>【答案】</w:t>
      </w:r>
      <w:r w:rsidRPr="00510D1D">
        <w:rPr>
          <w:rFonts w:ascii="宋体" w:hAnsi="宋体" w:hint="eastAsia"/>
        </w:rPr>
        <w:t>(1)</w:t>
      </w:r>
      <w:r w:rsidRPr="00510D1D">
        <w:rPr>
          <w:rFonts w:ascii="宋体" w:hAnsi="宋体" w:hint="eastAsia"/>
        </w:rPr>
        <w:t>民法典规定，对经营者的产品质量或者服务质量进行批评、评论，不能认定为侵害名誉权。但是，借机以诽谤、诋毁、侮辱等方式损害对方利益的，则构成侵权。本案的爆</w:t>
      </w:r>
      <w:proofErr w:type="gramStart"/>
      <w:r w:rsidRPr="00510D1D">
        <w:rPr>
          <w:rFonts w:ascii="宋体" w:hAnsi="宋体" w:hint="eastAsia"/>
        </w:rPr>
        <w:t>料符合</w:t>
      </w:r>
      <w:proofErr w:type="gramEnd"/>
      <w:r w:rsidRPr="00510D1D">
        <w:rPr>
          <w:rFonts w:ascii="宋体" w:hAnsi="宋体" w:hint="eastAsia"/>
        </w:rPr>
        <w:t>事实，没有违法，故不构成侵害名誉权。（</w:t>
      </w:r>
      <w:r w:rsidRPr="00510D1D">
        <w:rPr>
          <w:rFonts w:ascii="宋体" w:hAnsi="宋体" w:hint="eastAsia"/>
        </w:rPr>
        <w:t>2</w:t>
      </w:r>
      <w:r w:rsidRPr="00510D1D">
        <w:rPr>
          <w:rFonts w:ascii="宋体" w:hAnsi="宋体" w:hint="eastAsia"/>
        </w:rPr>
        <w:t>分）</w:t>
      </w:r>
    </w:p>
    <w:p w:rsidR="00EF5CB8" w:rsidRPr="00510D1D" w:rsidRDefault="00510EA7">
      <w:pPr>
        <w:spacing w:line="360" w:lineRule="auto"/>
        <w:rPr>
          <w:rFonts w:ascii="宋体" w:hAnsi="宋体"/>
        </w:rPr>
      </w:pPr>
      <w:r w:rsidRPr="00510D1D">
        <w:rPr>
          <w:rFonts w:ascii="宋体" w:hAnsi="宋体" w:hint="eastAsia"/>
        </w:rPr>
        <w:t>(2)</w:t>
      </w:r>
      <w:r w:rsidRPr="00510D1D">
        <w:rPr>
          <w:rFonts w:ascii="宋体" w:hAnsi="宋体" w:hint="eastAsia"/>
        </w:rPr>
        <w:t>①根据反不正当竞争法，经营者不得对其商品的性能、功能、质量、销售状况、用户评价、曾获荣誉等作虚假或者引人误解的商业宣传，欺骗、误导消费者。</w:t>
      </w:r>
      <w:r w:rsidRPr="00510D1D">
        <w:rPr>
          <w:rFonts w:ascii="宋体" w:hAnsi="宋体" w:hint="eastAsia"/>
        </w:rPr>
        <w:t>商品标签、门店为羊肉保真所做背书和信息公示栏标注等，均涉嫌欺骗、误导消费者行为。</w:t>
      </w:r>
    </w:p>
    <w:p w:rsidR="00EF5CB8" w:rsidRPr="00510D1D" w:rsidRDefault="00510EA7">
      <w:pPr>
        <w:spacing w:line="360" w:lineRule="auto"/>
        <w:rPr>
          <w:rFonts w:ascii="宋体" w:hAnsi="宋体"/>
        </w:rPr>
      </w:pPr>
      <w:r w:rsidRPr="00510D1D">
        <w:rPr>
          <w:rFonts w:ascii="宋体" w:hAnsi="宋体" w:hint="eastAsia"/>
        </w:rPr>
        <w:t>②经营者应当保障消费者的知情权。【可替代答案：经营者向消费者提供有关商品或者服务的质量、性能、用途、有效期限等信息，应当真实、全面，不得作虚假或者引人误解的宣传。】羊肉卷检出牛源性、鸭源性等成份，是对消费者知情权的侵害。</w:t>
      </w:r>
    </w:p>
    <w:p w:rsidR="00EF5CB8" w:rsidRPr="00510D1D" w:rsidRDefault="00510EA7">
      <w:pPr>
        <w:spacing w:line="360" w:lineRule="auto"/>
        <w:rPr>
          <w:rFonts w:ascii="宋体" w:hAnsi="宋体"/>
        </w:rPr>
      </w:pPr>
      <w:r w:rsidRPr="00510D1D">
        <w:rPr>
          <w:rFonts w:ascii="宋体" w:hAnsi="宋体" w:hint="eastAsia"/>
        </w:rPr>
        <w:t>鉴于以上情形，当地市场监督管理局对其立案调查。（</w:t>
      </w:r>
      <w:r w:rsidRPr="00510D1D">
        <w:rPr>
          <w:rFonts w:ascii="宋体" w:hAnsi="宋体" w:hint="eastAsia"/>
        </w:rPr>
        <w:t>3</w:t>
      </w:r>
      <w:r w:rsidRPr="00510D1D">
        <w:rPr>
          <w:rFonts w:ascii="宋体" w:hAnsi="宋体" w:hint="eastAsia"/>
        </w:rPr>
        <w:t>分）</w:t>
      </w:r>
    </w:p>
    <w:p w:rsidR="00EF5CB8" w:rsidRPr="00510D1D" w:rsidRDefault="00510EA7">
      <w:pPr>
        <w:spacing w:line="360" w:lineRule="auto"/>
        <w:rPr>
          <w:rFonts w:ascii="宋体" w:hAnsi="宋体"/>
        </w:rPr>
      </w:pPr>
      <w:r w:rsidRPr="00510D1D">
        <w:rPr>
          <w:rFonts w:ascii="宋体" w:hAnsi="宋体" w:hint="eastAsia"/>
        </w:rPr>
        <w:t>(3)</w:t>
      </w:r>
      <w:r w:rsidRPr="00510D1D">
        <w:rPr>
          <w:rFonts w:ascii="宋体" w:hAnsi="宋体" w:hint="eastAsia"/>
        </w:rPr>
        <w:t>民事诉讼实行“谁主张，谁举证”的举证原则。没有证据或者证据不足的，由负有举证责任的当事人承担不利后果。消费者想要维权成功，就应该向法庭出示购物小票</w:t>
      </w:r>
      <w:r w:rsidRPr="00510D1D">
        <w:rPr>
          <w:rFonts w:ascii="宋体" w:hAnsi="宋体" w:hint="eastAsia"/>
        </w:rPr>
        <w:t>、检测机构的检测报告等证据。（</w:t>
      </w:r>
      <w:r w:rsidRPr="00510D1D">
        <w:rPr>
          <w:rFonts w:ascii="宋体" w:hAnsi="宋体" w:hint="eastAsia"/>
        </w:rPr>
        <w:t>4</w:t>
      </w:r>
      <w:r w:rsidRPr="00510D1D">
        <w:rPr>
          <w:rFonts w:ascii="宋体" w:hAnsi="宋体" w:hint="eastAsia"/>
        </w:rPr>
        <w:t>分）</w:t>
      </w:r>
    </w:p>
    <w:p w:rsidR="00EF5CB8" w:rsidRPr="00510D1D" w:rsidRDefault="00EF5CB8">
      <w:pPr>
        <w:jc w:val="center"/>
      </w:pPr>
    </w:p>
    <w:p w:rsidR="00EF5CB8" w:rsidRPr="00510D1D" w:rsidRDefault="00510EA7">
      <w:pPr>
        <w:spacing w:line="360" w:lineRule="auto"/>
        <w:rPr>
          <w:rFonts w:ascii="宋体" w:hAnsi="宋体"/>
        </w:rPr>
      </w:pPr>
      <w:r w:rsidRPr="00510D1D">
        <w:rPr>
          <w:rFonts w:hint="eastAsia"/>
        </w:rPr>
        <w:t>32.</w:t>
      </w:r>
      <w:r w:rsidRPr="00510D1D">
        <w:rPr>
          <w:rFonts w:hint="eastAsia"/>
        </w:rPr>
        <w:t>（</w:t>
      </w:r>
      <w:r w:rsidRPr="00510D1D">
        <w:rPr>
          <w:rFonts w:hint="eastAsia"/>
        </w:rPr>
        <w:t>6</w:t>
      </w:r>
      <w:r w:rsidRPr="00510D1D">
        <w:rPr>
          <w:rFonts w:hint="eastAsia"/>
        </w:rPr>
        <w:t>分）</w:t>
      </w:r>
      <w:r w:rsidRPr="00510D1D">
        <w:rPr>
          <w:rFonts w:ascii="宋体" w:hAnsi="宋体" w:hint="eastAsia"/>
        </w:rPr>
        <w:t>【答案】</w:t>
      </w:r>
      <w:r w:rsidRPr="00510D1D">
        <w:rPr>
          <w:rFonts w:ascii="宋体" w:hAnsi="宋体" w:hint="eastAsia"/>
        </w:rPr>
        <w:t>(1)</w:t>
      </w:r>
      <w:r w:rsidRPr="00510D1D">
        <w:rPr>
          <w:rFonts w:ascii="宋体" w:hAnsi="宋体" w:hint="eastAsia"/>
        </w:rPr>
        <w:t>要学会运用逆向思维，从过去所把握的事物原理的反面、构成要素的反面、功能结构的反面等，去思考、去求索，以实现创新的目的。（其他答案，符合题意，可酌情给分）（</w:t>
      </w:r>
      <w:r w:rsidRPr="00510D1D">
        <w:rPr>
          <w:rFonts w:ascii="宋体" w:hAnsi="宋体" w:hint="eastAsia"/>
        </w:rPr>
        <w:t>2</w:t>
      </w:r>
      <w:r w:rsidRPr="00510D1D">
        <w:rPr>
          <w:rFonts w:ascii="宋体" w:hAnsi="宋体" w:hint="eastAsia"/>
        </w:rPr>
        <w:t>分）</w:t>
      </w:r>
    </w:p>
    <w:p w:rsidR="00EF5CB8" w:rsidRPr="00510D1D" w:rsidRDefault="00510EA7">
      <w:pPr>
        <w:spacing w:line="360" w:lineRule="auto"/>
        <w:rPr>
          <w:rFonts w:ascii="宋体" w:hAnsi="宋体"/>
        </w:rPr>
      </w:pPr>
      <w:r w:rsidRPr="00510D1D">
        <w:rPr>
          <w:rFonts w:ascii="宋体" w:hAnsi="宋体" w:hint="eastAsia"/>
        </w:rPr>
        <w:t>(2)</w:t>
      </w:r>
      <w:r w:rsidRPr="00510D1D">
        <w:rPr>
          <w:rFonts w:ascii="宋体" w:hAnsi="宋体" w:hint="eastAsia"/>
        </w:rPr>
        <w:t>①逆向思维应当合“理”。如果不顾客观规律，盲目地“反向”，不仅难以实现创新思维的目的，而且可能付出惨重的代价。②我们只有掌握了正向思维的“正”，才能够合理有效地进行逆向思维的“逆”，即对已有的常规认识作反向思考。③要正逆互补，携手共进。避免思维的僵化与极端</w:t>
      </w:r>
      <w:r w:rsidRPr="00510D1D">
        <w:rPr>
          <w:rFonts w:ascii="宋体" w:hAnsi="宋体" w:hint="eastAsia"/>
        </w:rPr>
        <w:t>化。（其他答案，符合题意，可酌情给分）（</w:t>
      </w:r>
      <w:r w:rsidRPr="00510D1D">
        <w:rPr>
          <w:rFonts w:ascii="宋体" w:hAnsi="宋体" w:hint="eastAsia"/>
        </w:rPr>
        <w:t>4</w:t>
      </w:r>
      <w:r w:rsidRPr="00510D1D">
        <w:rPr>
          <w:rFonts w:ascii="宋体" w:hAnsi="宋体" w:hint="eastAsia"/>
        </w:rPr>
        <w:t>分）</w:t>
      </w:r>
    </w:p>
    <w:p w:rsidR="00EF5CB8" w:rsidRPr="00510D1D" w:rsidRDefault="00EF5CB8"/>
    <w:p w:rsidR="00EF5CB8" w:rsidRPr="00510D1D" w:rsidRDefault="00510EA7">
      <w:pPr>
        <w:spacing w:line="360" w:lineRule="auto"/>
        <w:rPr>
          <w:rFonts w:ascii="宋体" w:hAnsi="宋体"/>
        </w:rPr>
      </w:pPr>
      <w:r w:rsidRPr="00510D1D">
        <w:rPr>
          <w:rFonts w:hint="eastAsia"/>
        </w:rPr>
        <w:t>33.</w:t>
      </w:r>
      <w:r w:rsidRPr="00510D1D">
        <w:rPr>
          <w:rFonts w:hint="eastAsia"/>
        </w:rPr>
        <w:t>（</w:t>
      </w:r>
      <w:r w:rsidRPr="00510D1D">
        <w:rPr>
          <w:rFonts w:hint="eastAsia"/>
        </w:rPr>
        <w:t>9</w:t>
      </w:r>
      <w:r w:rsidRPr="00510D1D">
        <w:rPr>
          <w:rFonts w:hint="eastAsia"/>
        </w:rPr>
        <w:t>分）</w:t>
      </w:r>
      <w:r w:rsidRPr="00510D1D">
        <w:rPr>
          <w:rFonts w:ascii="宋体" w:hAnsi="宋体" w:hint="eastAsia"/>
        </w:rPr>
        <w:t>【答案】答案示例</w:t>
      </w:r>
    </w:p>
    <w:p w:rsidR="00EF5CB8" w:rsidRPr="00510D1D" w:rsidRDefault="00510EA7">
      <w:pPr>
        <w:spacing w:line="360" w:lineRule="auto"/>
        <w:rPr>
          <w:rFonts w:ascii="宋体" w:hAnsi="宋体"/>
        </w:rPr>
      </w:pPr>
      <w:r w:rsidRPr="00510D1D">
        <w:rPr>
          <w:rFonts w:ascii="宋体" w:hAnsi="宋体" w:hint="eastAsia"/>
        </w:rPr>
        <w:t>国家利益和国家实力是影响国际关系的决定性因素，国家间的共同利益是国家合作的基础，而利益对立则</w:t>
      </w:r>
      <w:r w:rsidRPr="00510D1D">
        <w:rPr>
          <w:rFonts w:ascii="宋体" w:hAnsi="宋体" w:hint="eastAsia"/>
        </w:rPr>
        <w:lastRenderedPageBreak/>
        <w:t>是引起国家冲突的根源。各国从气候变迁与低碳转型的角度承诺终止化石燃料补贴，但终止补贴又导致国内能源价格不稳定，影响本国经济增长和社会稳定，陷入两难境地，</w:t>
      </w:r>
    </w:p>
    <w:p w:rsidR="00EF5CB8" w:rsidRPr="00510D1D" w:rsidRDefault="00510EA7">
      <w:pPr>
        <w:spacing w:line="360" w:lineRule="auto"/>
        <w:rPr>
          <w:rFonts w:ascii="宋体" w:hAnsi="宋体"/>
        </w:rPr>
      </w:pPr>
      <w:r w:rsidRPr="00510D1D">
        <w:rPr>
          <w:rFonts w:ascii="宋体" w:hAnsi="宋体" w:hint="eastAsia"/>
        </w:rPr>
        <w:t>和平和发展是当今时代的主题，但世界的和平和发展面临诸多难题和挑战，为应对全球气候治理难题，各国应承担应尽的国际义务和责任。各国应该共同维护以联合国为核心的国际体系、以国际法为基础的国际</w:t>
      </w:r>
      <w:r w:rsidRPr="00510D1D">
        <w:rPr>
          <w:rFonts w:ascii="宋体" w:hAnsi="宋体" w:hint="eastAsia"/>
        </w:rPr>
        <w:t>秩序，重信守诺，切实履行承诺和义务，携手推动一系列全球气候协定行稳致远。</w:t>
      </w:r>
    </w:p>
    <w:p w:rsidR="00EF5CB8" w:rsidRPr="00510D1D" w:rsidRDefault="00EF5CB8">
      <w:pPr>
        <w:spacing w:line="360" w:lineRule="auto"/>
        <w:rPr>
          <w:rFonts w:ascii="宋体" w:hAnsi="宋体"/>
        </w:rPr>
      </w:pPr>
      <w:bookmarkStart w:id="0" w:name="_GoBack"/>
      <w:bookmarkEnd w:id="0"/>
    </w:p>
    <w:p w:rsidR="00EF5CB8" w:rsidRPr="00510D1D" w:rsidRDefault="00EF5CB8"/>
    <w:p w:rsidR="00EF5CB8" w:rsidRPr="00510D1D" w:rsidRDefault="00510EA7">
      <w:pPr>
        <w:spacing w:line="360" w:lineRule="auto"/>
        <w:jc w:val="left"/>
        <w:textAlignment w:val="center"/>
      </w:pPr>
      <w:r w:rsidRPr="00510D1D">
        <w:br w:type="page"/>
      </w:r>
    </w:p>
    <w:sectPr w:rsidR="00EF5CB8" w:rsidRPr="00510D1D" w:rsidSect="00AE3BD0">
      <w:headerReference w:type="default" r:id="rId9"/>
      <w:footerReference w:type="even" r:id="rId10"/>
      <w:footerReference w:type="default" r:id="rId11"/>
      <w:pgSz w:w="11907" w:h="16839"/>
      <w:pgMar w:top="1440" w:right="1080" w:bottom="1440" w:left="108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0EA7" w:rsidRDefault="00510EA7" w:rsidP="00AE3BD0">
      <w:r>
        <w:separator/>
      </w:r>
    </w:p>
  </w:endnote>
  <w:endnote w:type="continuationSeparator" w:id="0">
    <w:p w:rsidR="00510EA7" w:rsidRDefault="00510EA7" w:rsidP="00AE3B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CB8" w:rsidRDefault="00510EA7">
    <w:pPr>
      <w:jc w:val="center"/>
    </w:pPr>
    <w:proofErr w:type="gramStart"/>
    <w:r>
      <w:rPr>
        <w:rFonts w:hint="eastAsia"/>
      </w:rPr>
      <w:t>试卷第</w:t>
    </w:r>
    <w:proofErr w:type="gramEnd"/>
    <w:r w:rsidR="00AE3BD0">
      <w:fldChar w:fldCharType="begin"/>
    </w:r>
    <w:r>
      <w:instrText xml:space="preserve"> =</w:instrText>
    </w:r>
    <w:r w:rsidR="00AE3BD0">
      <w:fldChar w:fldCharType="begin"/>
    </w:r>
    <w:r>
      <w:instrText xml:space="preserve">page  </w:instrText>
    </w:r>
    <w:r w:rsidR="00AE3BD0">
      <w:fldChar w:fldCharType="separate"/>
    </w:r>
    <w:r>
      <w:instrText>2</w:instrText>
    </w:r>
    <w:r w:rsidR="00AE3BD0">
      <w:fldChar w:fldCharType="end"/>
    </w:r>
    <w:r>
      <w:instrText xml:space="preserve"> </w:instrText>
    </w:r>
    <w:r w:rsidR="00AE3BD0">
      <w:fldChar w:fldCharType="separate"/>
    </w:r>
    <w:r>
      <w:t>2</w:t>
    </w:r>
    <w:r w:rsidR="00AE3BD0">
      <w:fldChar w:fldCharType="end"/>
    </w:r>
    <w:r>
      <w:rPr>
        <w:rFonts w:hint="eastAsia"/>
      </w:rPr>
      <w:t>页，共</w:t>
    </w:r>
    <w:r w:rsidR="00AE3BD0">
      <w:fldChar w:fldCharType="begin"/>
    </w:r>
    <w:r>
      <w:instrText xml:space="preserve"> =</w:instrText>
    </w:r>
    <w:r w:rsidR="00AE3BD0">
      <w:fldChar w:fldCharType="begin"/>
    </w:r>
    <w:r>
      <w:instrText xml:space="preserve">sectionpages  </w:instrText>
    </w:r>
    <w:r w:rsidR="00AE3BD0">
      <w:fldChar w:fldCharType="separate"/>
    </w:r>
    <w:r>
      <w:instrText>22</w:instrText>
    </w:r>
    <w:r w:rsidR="00AE3BD0">
      <w:fldChar w:fldCharType="end"/>
    </w:r>
    <w:r>
      <w:instrText xml:space="preserve"> </w:instrText>
    </w:r>
    <w:r w:rsidR="00AE3BD0">
      <w:fldChar w:fldCharType="separate"/>
    </w:r>
    <w:r>
      <w:t>22</w:t>
    </w:r>
    <w:r w:rsidR="00AE3BD0">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Default="00AE3BD0">
    <w:pPr>
      <w:tabs>
        <w:tab w:val="center" w:pos="4153"/>
        <w:tab w:val="right" w:pos="8306"/>
      </w:tabs>
      <w:snapToGrid w:val="0"/>
      <w:jc w:val="left"/>
      <w:rPr>
        <w:kern w:val="0"/>
        <w:sz w:val="2"/>
        <w:szCs w:val="2"/>
      </w:rPr>
    </w:pPr>
    <w:r w:rsidRPr="00AE3BD0">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2" type="#_x0000_t136" alt="学科网 zxxk.com" style="position:absolute;margin-left:158.95pt;margin-top:407.9pt;width:2.85pt;height:2.85pt;rotation:315;z-index:-251657728;mso-position-horizontal-relative:margin;mso-position-vertical-relative:margin" o:allowincell="f" stroked="f">
          <v:fill opacity=".5"/>
          <v:textpath style="font-family:&quot;宋体&quot;;font-size:8pt" string="zxxk.com"/>
          <w10:wrap anchorx="margin" anchory="margin"/>
        </v:shape>
      </w:pict>
    </w:r>
    <w:r w:rsidRPr="00AE3BD0">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3" type="#_x0000_t75" alt="学科网 zxxk.com" style="position:absolute;margin-left:64.05pt;margin-top:-20.75pt;width:.05pt;height:.05pt;z-index:251659776">
          <v:imagedata r:id="rId1" o:title="{75232B38-A165-1FB7-499C-2E1C792CACB5}"/>
        </v:shape>
      </w:pict>
    </w:r>
    <w:r w:rsidR="00510EA7">
      <w:rPr>
        <w:rFonts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0EA7" w:rsidRDefault="00510EA7" w:rsidP="00AE3BD0">
      <w:r>
        <w:separator/>
      </w:r>
    </w:p>
  </w:footnote>
  <w:footnote w:type="continuationSeparator" w:id="0">
    <w:p w:rsidR="00510EA7" w:rsidRDefault="00510EA7" w:rsidP="00AE3B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CB8" w:rsidRDefault="00EF5CB8">
    <w:pPr>
      <w:pStyle w:val="a5"/>
    </w:pPr>
  </w:p>
  <w:p w:rsidR="004151FC" w:rsidRDefault="00AE3BD0">
    <w:pPr>
      <w:pBdr>
        <w:bottom w:val="none" w:sz="0" w:space="1" w:color="auto"/>
      </w:pBdr>
      <w:snapToGrid w:val="0"/>
      <w:rPr>
        <w:kern w:val="0"/>
        <w:sz w:val="2"/>
        <w:szCs w:val="2"/>
      </w:rPr>
    </w:pPr>
    <w:r w:rsidRPr="00AE3B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6704">
          <v:imagedata r:id="rId1" o:title="{75232B38-A165-1FB7-499C-2E1C792CACB5}"/>
        </v:shape>
      </w:pict>
    </w:r>
    <w:r w:rsidRPr="00AE3BD0">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GEyNTMxYzBmNmM3NmY0OTlmZTY5MDVkYjEyMjQ3MWIifQ=="/>
  </w:docVars>
  <w:rsids>
    <w:rsidRoot w:val="00C806B0"/>
    <w:rsid w:val="00043B54"/>
    <w:rsid w:val="00044BD3"/>
    <w:rsid w:val="00052438"/>
    <w:rsid w:val="0007235F"/>
    <w:rsid w:val="000F02B9"/>
    <w:rsid w:val="00183CB9"/>
    <w:rsid w:val="001D7A06"/>
    <w:rsid w:val="00201828"/>
    <w:rsid w:val="002577BA"/>
    <w:rsid w:val="002601C9"/>
    <w:rsid w:val="002767BF"/>
    <w:rsid w:val="00284433"/>
    <w:rsid w:val="002A1EC6"/>
    <w:rsid w:val="002D22FC"/>
    <w:rsid w:val="002E035E"/>
    <w:rsid w:val="002E364F"/>
    <w:rsid w:val="00371578"/>
    <w:rsid w:val="003D64B6"/>
    <w:rsid w:val="003E64E6"/>
    <w:rsid w:val="0041230C"/>
    <w:rsid w:val="004151FC"/>
    <w:rsid w:val="00460ECB"/>
    <w:rsid w:val="00495078"/>
    <w:rsid w:val="004C0567"/>
    <w:rsid w:val="004D5AFC"/>
    <w:rsid w:val="004E26F5"/>
    <w:rsid w:val="00510D1D"/>
    <w:rsid w:val="00510EA7"/>
    <w:rsid w:val="00545D58"/>
    <w:rsid w:val="005B5EBA"/>
    <w:rsid w:val="005D3805"/>
    <w:rsid w:val="005E14F9"/>
    <w:rsid w:val="0060144C"/>
    <w:rsid w:val="006309A3"/>
    <w:rsid w:val="0064056B"/>
    <w:rsid w:val="006628D8"/>
    <w:rsid w:val="006B16C5"/>
    <w:rsid w:val="006C48D1"/>
    <w:rsid w:val="007371D4"/>
    <w:rsid w:val="00776133"/>
    <w:rsid w:val="00882679"/>
    <w:rsid w:val="008A6491"/>
    <w:rsid w:val="008C07DE"/>
    <w:rsid w:val="009029DB"/>
    <w:rsid w:val="009A5CFA"/>
    <w:rsid w:val="009F2FD8"/>
    <w:rsid w:val="00A30CCE"/>
    <w:rsid w:val="00A839B9"/>
    <w:rsid w:val="00AB2888"/>
    <w:rsid w:val="00AB3F12"/>
    <w:rsid w:val="00AC3E9C"/>
    <w:rsid w:val="00AE3BD0"/>
    <w:rsid w:val="00AF65CB"/>
    <w:rsid w:val="00B2092B"/>
    <w:rsid w:val="00B77A72"/>
    <w:rsid w:val="00B87230"/>
    <w:rsid w:val="00BA55BD"/>
    <w:rsid w:val="00BC4F14"/>
    <w:rsid w:val="00BF535F"/>
    <w:rsid w:val="00C02FC6"/>
    <w:rsid w:val="00C76DDF"/>
    <w:rsid w:val="00C806B0"/>
    <w:rsid w:val="00CF6C29"/>
    <w:rsid w:val="00D26AF8"/>
    <w:rsid w:val="00D318CD"/>
    <w:rsid w:val="00E00B69"/>
    <w:rsid w:val="00E14372"/>
    <w:rsid w:val="00E266BB"/>
    <w:rsid w:val="00E476EE"/>
    <w:rsid w:val="00EB7DDD"/>
    <w:rsid w:val="00EF035E"/>
    <w:rsid w:val="00EF3342"/>
    <w:rsid w:val="00EF5CB8"/>
    <w:rsid w:val="00F31CEE"/>
    <w:rsid w:val="00FA68DF"/>
    <w:rsid w:val="1F9541C5"/>
    <w:rsid w:val="7E2851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3BD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E3BD0"/>
    <w:rPr>
      <w:sz w:val="18"/>
      <w:szCs w:val="18"/>
    </w:rPr>
  </w:style>
  <w:style w:type="paragraph" w:styleId="a4">
    <w:name w:val="footer"/>
    <w:basedOn w:val="a"/>
    <w:link w:val="Char0"/>
    <w:uiPriority w:val="99"/>
    <w:unhideWhenUsed/>
    <w:rsid w:val="00AE3BD0"/>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AE3BD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AE3BD0"/>
    <w:rPr>
      <w:sz w:val="18"/>
      <w:szCs w:val="18"/>
    </w:rPr>
  </w:style>
  <w:style w:type="character" w:customStyle="1" w:styleId="Char0">
    <w:name w:val="页脚 Char"/>
    <w:basedOn w:val="a0"/>
    <w:link w:val="a4"/>
    <w:uiPriority w:val="99"/>
    <w:qFormat/>
    <w:rsid w:val="00AE3BD0"/>
    <w:rPr>
      <w:sz w:val="18"/>
      <w:szCs w:val="18"/>
    </w:rPr>
  </w:style>
  <w:style w:type="character" w:customStyle="1" w:styleId="Char">
    <w:name w:val="批注框文本 Char"/>
    <w:basedOn w:val="a0"/>
    <w:link w:val="a3"/>
    <w:uiPriority w:val="99"/>
    <w:semiHidden/>
    <w:rsid w:val="00AE3BD0"/>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0FF548-6B38-4814-9D0C-97F4B4E2C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297</Words>
  <Characters>1697</Characters>
  <Application>Microsoft Office Word</Application>
  <DocSecurity>0</DocSecurity>
  <Lines>14</Lines>
  <Paragraphs>3</Paragraphs>
  <ScaleCrop>false</ScaleCrop>
  <Company/>
  <LinksUpToDate>false</LinksUpToDate>
  <CharactersWithSpaces>1991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微软用户</cp:lastModifiedBy>
  <cp:revision>67</cp:revision>
  <dcterms:created xsi:type="dcterms:W3CDTF">2017-07-19T12:07:00Z</dcterms:created>
  <dcterms:modified xsi:type="dcterms:W3CDTF">2023-12-27T00:04:00Z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