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560" w:hangingChars="20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诸暨市202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月高三适应性考试试题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600" w:hangingChars="20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思想政治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Lines="25" w:line="360" w:lineRule="exact"/>
        <w:ind w:left="0" w:hanging="422" w:hangingChars="200"/>
        <w:textAlignment w:val="auto"/>
        <w:rPr>
          <w:rFonts w:hint="default" w:ascii="Times New Roman" w:hAnsi="Times New Roman" w:eastAsia="方正楷体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lang w:val="en-US" w:eastAsia="zh-CN"/>
        </w:rPr>
        <w:t>一、选择题I（本大题共17小题，每小题2分，共34分）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 xml:space="preserve">D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11.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13.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14.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15.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 xml:space="preserve">C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16.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17.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422" w:hangingChars="200"/>
        <w:textAlignment w:val="auto"/>
        <w:rPr>
          <w:rFonts w:hint="default" w:ascii="Times New Roman" w:hAnsi="Times New Roman" w:eastAsia="方正楷体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lang w:val="en-US" w:eastAsia="zh-CN"/>
        </w:rPr>
        <w:t>二、选择题II（本大题共6小题，每小题3分，共18分）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422" w:hanging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18.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19.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20.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21.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22.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23.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B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422" w:hangingChars="200"/>
        <w:textAlignment w:val="auto"/>
        <w:rPr>
          <w:rFonts w:hint="default" w:ascii="Times New Roman" w:hAnsi="Times New Roman" w:eastAsia="方正楷体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lang w:val="en-US" w:eastAsia="zh-CN"/>
        </w:rPr>
        <w:t>三、综合题（本大题共4小题，共48分）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422" w:hangingChars="200"/>
        <w:textAlignment w:val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9分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保证人民当家作主，体现人民共同意志，维护人民合法权益，是我国国家制度和国家治理体系的本质属性。Z省在推进人大代表联络站的建设中，通过“进站亮码”，“代表码”和“活动码”相配合，开发建设代表联络站数字化平台，打造</w:t>
      </w:r>
      <w:r>
        <w:rPr>
          <w:rFonts w:hint="eastAsia" w:asciiTheme="minorEastAsia" w:hAnsiTheme="minorEastAsia" w:eastAsiaTheme="minorEastAsia" w:cstheme="minorEastAsia"/>
        </w:rPr>
        <w:t>“流动代表联络站”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等举措，健全了代表联络机制，与人民群众保持密切联系，</w:t>
      </w:r>
      <w:r>
        <w:rPr>
          <w:rFonts w:hint="eastAsia" w:asciiTheme="minorEastAsia" w:hAnsiTheme="minorEastAsia" w:eastAsiaTheme="minorEastAsia" w:cstheme="minorEastAsia"/>
        </w:rPr>
        <w:t>实现民意征集和代表履职的有效衔接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促进科学决策与更好服务民生，促进</w:t>
      </w:r>
      <w:r>
        <w:rPr>
          <w:rFonts w:hint="eastAsia" w:asciiTheme="minorEastAsia" w:hAnsiTheme="minorEastAsia" w:eastAsiaTheme="minorEastAsia" w:cstheme="minorEastAsia"/>
        </w:rPr>
        <w:t>全过程人民民主基层单元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建设，推动基层治理有效运行、充满活</w:t>
      </w:r>
      <w:r>
        <w:rPr>
          <w:rFonts w:hint="eastAsia" w:asciiTheme="minorEastAsia" w:hAnsiTheme="minorEastAsia" w:cstheme="minorEastAsia"/>
          <w:lang w:val="en-US" w:eastAsia="zh-CN"/>
        </w:rPr>
        <w:t>力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；通过数字化建设促进人民群众、人大代表、国家机关多方良性互动，以多种方式带动群众积极参与基层治理，以多元共治实现自治、智治等有机统一，充分发挥了我国的政治制度优势，用制度体系充分保障人民当家作主，</w:t>
      </w:r>
      <w:r>
        <w:rPr>
          <w:rFonts w:hint="eastAsia" w:asciiTheme="minorEastAsia" w:hAnsiTheme="minorEastAsia" w:eastAsiaTheme="minorEastAsia" w:cstheme="minorEastAsia"/>
        </w:rPr>
        <w:t>助力基层治理体系和治理能力现代化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lang w:val="en-US" w:eastAsia="zh-CN"/>
        </w:rPr>
        <w:t>．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18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分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hanging="525" w:hangingChars="25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具体问题具体分析是正确认识事物的基础，也是正确解决矛盾的关键。浙江省着眼于“三大差距”全过程各方面，具体分析不同地区的发展阶段与资源差异，把握城乡居民、低收入农户、山区县农民等收入差异，聚焦民生痛点、增收难点、发展堵点等实际，因地制宜，分类指导，精准施策，找到了缩小“三大差距”的正确方法，促进地区、城乡、经济社会等协调发展，让发展成果更好惠及全省人民，做到了具体问题具体分析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hanging="525" w:hangingChars="25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《经济与社会》角度：“千万工程”是基于</w:t>
      </w:r>
      <w:r>
        <w:rPr>
          <w:rFonts w:hint="eastAsia" w:asciiTheme="minorEastAsia" w:hAnsiTheme="minorEastAsia" w:eastAsiaTheme="minorEastAsia" w:cstheme="minorEastAsia"/>
        </w:rPr>
        <w:t>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乡</w:t>
      </w:r>
      <w:r>
        <w:rPr>
          <w:rFonts w:hint="eastAsia" w:asciiTheme="minorEastAsia" w:hAnsiTheme="minorEastAsia" w:eastAsiaTheme="minorEastAsia" w:cstheme="minorEastAsia"/>
        </w:rPr>
        <w:t>不平衡不协调的问题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而推进的，通过</w:t>
      </w:r>
      <w:r>
        <w:rPr>
          <w:rFonts w:hint="eastAsia" w:asciiTheme="minorEastAsia" w:hAnsiTheme="minorEastAsia" w:eastAsiaTheme="minorEastAsia" w:cstheme="minorEastAsia"/>
        </w:rPr>
        <w:t>20余年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的探索成就了</w:t>
      </w:r>
      <w:r>
        <w:rPr>
          <w:rFonts w:hint="eastAsia" w:asciiTheme="minorEastAsia" w:hAnsiTheme="minorEastAsia" w:eastAsiaTheme="minorEastAsia" w:cstheme="minorEastAsia"/>
        </w:rPr>
        <w:t>“美丽乡村”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来农民幸福感，坚持以人民为中心的发展思想，贯彻创新、协调、共享等新发展理念，将“千万工程”的经验与做法贯穿于缩小“三大差距”的做法，坚持新发展理念，能够更好满足人民日益增长的美好生活需要，有助于稳步实现全体人民共同富裕，实现高质量发展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420" w:firstLineChars="200"/>
        <w:textAlignment w:val="auto"/>
        <w:rPr>
          <w:rFonts w:hint="default" w:ascii="楷体_GB2312" w:hAnsi="楷体_GB2312" w:eastAsia="楷体_GB2312" w:cs="楷体_GB2312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《哲学与文化》角度：任何事物都是普遍性与特殊性的对立统一，世界上的事物无论怎样特殊，它总是在特殊性包含着普遍性，不包含普遍性的事物是没有。“千万工程”建设与缩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小“三大差距”都是实现共同富裕的路径与手段，“千万工程”建设给人民带来万千幸福的经验与做法，具有普遍性，可以为缩小“三大差距”提供</w:t>
      </w:r>
      <w:r>
        <w:rPr>
          <w:rFonts w:hint="default" w:ascii="Times New Roman" w:hAnsi="Times New Roman" w:eastAsia="宋体" w:cs="Times New Roman"/>
          <w:lang w:val="en-US" w:eastAsia="zh-CN"/>
        </w:rPr>
        <w:t>有益借鉴。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leftChars="200" w:hanging="420" w:hangingChars="200"/>
        <w:textAlignment w:val="auto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注：本题为开放题，其他言之有理，酌情给分，其中《经济与社会》《哲学与文化》每个角度最多给3分。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hanging="525" w:hanging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创新思维要善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“未来乡村”的建设涉及产业、风貌、文化等多个方面，通过联想思维将这些原本相对独立的要素有机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联结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起来，形成一个整体的发展理念，拓展乡村发展的思路。②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创新思维要多路探索。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未来乡村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顶层设计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中，从不同的角度如原乡人、归乡人、新乡人等多维度思考发展路径，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最终都汇聚到“未来乡村”这一核心目标上，围绕人本化、数字化、生态化等理念进行建设，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坚持了发散思维与聚合思维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创新思维要力求超前。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“未来乡村”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顶层设计突破当前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乡村常规发展模式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综合考虑产业、风貌、文化等多方面要素，打破传统单一发展思路，运用合理推理和想象，对乡村未来发展趋势进行了预判，提前规划人本化、数字化、生态化等发展方向，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坚持了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超前思维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lang w:val="en-US" w:eastAsia="zh-CN"/>
        </w:rPr>
        <w:t>．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（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9分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hanging="525" w:hangingChars="25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事诉讼实行“谁主张、谁举证”的举证原则。小姜主张小曾退还购买戒指价款、支付价款的三倍赔偿金以及委托鉴定费，应提供支付宝支付记录、鉴定意见书以及委托鉴定费收据等证据。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25" w:hanging="525" w:hangingChars="25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法院会支持小姜的诉讼请求。小姜与小曾通过微信方式达成了有效的买卖协议，具有法律约束力。小姜依据双方的约定，支付货款，但小曾没有依据约定交付正品品牌戒指，违背诚信、全面履行等原则，应当承担违约责任，退回货款及支付鉴定费。同时，小曾作为商品的经营者，没有向作为消费者的小姜交付符合双方约定的合格产品，具有欺诈行为，损害了小姜的合法权益，造成了财产损失，小姜依法享有获得商品价款三倍赔偿金的权利。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lang w:val="en-US" w:eastAsia="zh-CN"/>
        </w:rPr>
        <w:t>．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12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分</w:t>
      </w:r>
      <w:r>
        <w:rPr>
          <w:rFonts w:hint="default" w:ascii="楷体_GB2312" w:hAnsi="楷体_GB2312" w:eastAsia="楷体_GB2312" w:cs="楷体_GB2312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lang w:val="en-US" w:eastAsia="zh-CN"/>
        </w:rPr>
        <w:t>本题为开放题，按照时评的撰写格式需要有标题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（1分）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，并从内容与逻辑两个角度综合评分，其中内容部分不超过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8分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，逻辑部分不超过</w:t>
      </w:r>
      <w:r>
        <w:rPr>
          <w:rFonts w:hint="default" w:ascii="楷体_GB2312" w:hAnsi="楷体_GB2312" w:eastAsia="楷体_GB2312" w:cs="楷体_GB2312"/>
          <w:color w:val="auto"/>
          <w:lang w:val="en-US" w:eastAsia="zh-CN"/>
        </w:rPr>
        <w:t>3分</w:t>
      </w:r>
      <w:r>
        <w:rPr>
          <w:rFonts w:hint="default" w:asciiTheme="minorEastAsia" w:hAnsiTheme="minorEastAsia" w:eastAsiaTheme="minorEastAsia" w:cstheme="min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参考示例：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多边主义是应对全球挑战最佳方案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面对错综复杂的时代难题，应当维护和践行真正的多边主义，推动构建人类命运共同体。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弘扬多边主义的核心要义是，国际上的事应该由大家商量着办。个别大国热衷于搞集团政治，将自身利益凌驾于人类共同利益之上，只会让世界的纷争对抗愈演愈烈。唯有“同球共济”，才能合力应对。坚持多边主义应与时俱进，既要推进联合国、世界贸易组织等多边机制的改革，增强新兴市场国家和发展中国家的代表性和发言权，也要积极推进新兴领域的新机制新规则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作为联合国安理会常任理事国和最大的发展中国家，中国始终是多边主义的坚定捍卫者和积极践行者，积极维护以联合国为核心的国际体系，推动建立适应国际力量对比新变化的全球治理体系，倡导国际关系民主化。</w:t>
      </w:r>
    </w:p>
    <w:p/>
    <w:sectPr>
      <w:footerReference r:id="rId3" w:type="default"/>
      <w:pgSz w:w="11168" w:h="15250"/>
      <w:pgMar w:top="1191" w:right="1276" w:bottom="1417" w:left="1276" w:header="851" w:footer="454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-462915</wp:posOffset>
              </wp:positionV>
              <wp:extent cx="319024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2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>思想政治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val="en-US" w:eastAsia="zh-CN"/>
                            </w:rPr>
                            <w:t>答案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  <w:t xml:space="preserve">  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  <w:t xml:space="preserve"> 页（共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  <w:t>页）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45pt;height:144pt;width:251.2pt;mso-position-horizontal:center;mso-position-horizontal-relative:margin;z-index:251659264;mso-width-relative:page;mso-height-relative:page;" filled="f" stroked="f" coordsize="21600,21600" o:gfxdata="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f/86o2QAAAAsBAAAPAAAAAAAAAAEAIAAAACIAAABkcnMvZG93&#10;bnJldi54bWxQSwECFAAUAAAACACHTuJAahcLUjgCAABj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>思想政治</w:t>
                    </w:r>
                    <w:r>
                      <w:rPr>
                        <w:rFonts w:hint="eastAsia" w:ascii="Times New Roman" w:hAnsi="Times New Roman" w:eastAsia="宋体" w:cs="Times New Roman"/>
                        <w:lang w:val="en-US" w:eastAsia="zh-CN"/>
                      </w:rPr>
                      <w:t>答案</w:t>
                    </w:r>
                    <w:r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  <w:t xml:space="preserve">  第 </w: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  <w:t xml:space="preserve"> 页（共</w:t>
                    </w:r>
                    <w:r>
                      <w:rPr>
                        <w:rFonts w:hint="eastAsia" w:ascii="Times New Roman" w:hAnsi="Times New Roman" w:eastAsia="宋体" w:cs="Times New Roman"/>
                        <w:lang w:val="en-US"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67040"/>
    <w:rsid w:val="08922920"/>
    <w:rsid w:val="25A53853"/>
    <w:rsid w:val="2E867040"/>
    <w:rsid w:val="7DE84520"/>
    <w:rsid w:val="7F3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2025-04-25T03:16:00Z</dcterms:created>
  <dc:creator>JOIN</dc:creator>
  <cp:lastModifiedBy>JOIN</cp:lastModifiedBy>
  <dcterms:modified xsi:type="dcterms:W3CDTF">2025-04-25T03:21:07Z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03DC83FF1BD64DE0A211DFE0A9337879</vt:lpwstr>
  </property>
</Properties>
</file>